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E2" w:rsidRDefault="00AC5EE2" w:rsidP="000C3AFB">
      <w:pPr>
        <w:rPr>
          <w:b/>
          <w:sz w:val="28"/>
          <w:szCs w:val="28"/>
        </w:rPr>
      </w:pPr>
    </w:p>
    <w:p w:rsidR="004F1BF2" w:rsidRDefault="004F1BF2" w:rsidP="00637B4E">
      <w:pPr>
        <w:rPr>
          <w:b/>
          <w:sz w:val="28"/>
          <w:szCs w:val="28"/>
        </w:rPr>
      </w:pPr>
    </w:p>
    <w:p w:rsidR="00692327" w:rsidRPr="00034E05" w:rsidRDefault="00692327" w:rsidP="00EE716D">
      <w:pPr>
        <w:rPr>
          <w:b/>
          <w:sz w:val="36"/>
          <w:szCs w:val="36"/>
        </w:rPr>
      </w:pPr>
      <w:r w:rsidRPr="00034E05">
        <w:rPr>
          <w:b/>
          <w:sz w:val="36"/>
          <w:szCs w:val="36"/>
        </w:rPr>
        <w:t>Turkey-U.S. Business Council</w:t>
      </w:r>
      <w:r w:rsidR="005A080F" w:rsidRPr="00034E05">
        <w:rPr>
          <w:b/>
          <w:sz w:val="36"/>
          <w:szCs w:val="36"/>
        </w:rPr>
        <w:t>, Session III</w:t>
      </w:r>
    </w:p>
    <w:p w:rsidR="00692327" w:rsidRDefault="00692327" w:rsidP="00EE716D">
      <w:pPr>
        <w:rPr>
          <w:b/>
        </w:rPr>
      </w:pPr>
    </w:p>
    <w:p w:rsidR="00AF194C" w:rsidRPr="00AF194C" w:rsidRDefault="00AF194C" w:rsidP="00EE716D">
      <w:pPr>
        <w:rPr>
          <w:sz w:val="32"/>
          <w:szCs w:val="32"/>
        </w:rPr>
      </w:pPr>
      <w:r w:rsidRPr="00AF194C">
        <w:rPr>
          <w:sz w:val="32"/>
          <w:szCs w:val="32"/>
        </w:rPr>
        <w:t>Topic 6.</w:t>
      </w:r>
    </w:p>
    <w:p w:rsidR="00AF194C" w:rsidRDefault="00AF194C" w:rsidP="00EE716D"/>
    <w:p w:rsidR="00692327" w:rsidRPr="00AF194C" w:rsidRDefault="00692327" w:rsidP="00EE716D">
      <w:pPr>
        <w:rPr>
          <w:sz w:val="32"/>
          <w:szCs w:val="32"/>
        </w:rPr>
      </w:pPr>
      <w:r w:rsidRPr="00AF194C">
        <w:rPr>
          <w:sz w:val="32"/>
          <w:szCs w:val="32"/>
        </w:rPr>
        <w:t>Trade and investment in US-Turkey</w:t>
      </w:r>
      <w:r w:rsidR="00625E90" w:rsidRPr="00AF194C">
        <w:rPr>
          <w:sz w:val="32"/>
          <w:szCs w:val="32"/>
        </w:rPr>
        <w:t xml:space="preserve"> intellectual property</w:t>
      </w:r>
      <w:r w:rsidR="003D2CC9" w:rsidRPr="00AF194C">
        <w:rPr>
          <w:sz w:val="32"/>
          <w:szCs w:val="32"/>
        </w:rPr>
        <w:t xml:space="preserve"> (IP)</w:t>
      </w:r>
      <w:r w:rsidR="00625E90" w:rsidRPr="00AF194C">
        <w:rPr>
          <w:sz w:val="32"/>
          <w:szCs w:val="32"/>
        </w:rPr>
        <w:t>,</w:t>
      </w:r>
      <w:r w:rsidRPr="00AF194C">
        <w:rPr>
          <w:sz w:val="32"/>
          <w:szCs w:val="32"/>
        </w:rPr>
        <w:t xml:space="preserve"> information technology and communications </w:t>
      </w:r>
      <w:r w:rsidR="003D2CC9" w:rsidRPr="00AF194C">
        <w:rPr>
          <w:sz w:val="32"/>
          <w:szCs w:val="32"/>
        </w:rPr>
        <w:t>(IT/C)</w:t>
      </w:r>
    </w:p>
    <w:p w:rsidR="00692327" w:rsidRPr="00AF194C" w:rsidRDefault="00692327" w:rsidP="00EE716D"/>
    <w:p w:rsidR="000C3AFB" w:rsidRPr="00AF194C" w:rsidRDefault="00692327" w:rsidP="00EE716D">
      <w:pPr>
        <w:pStyle w:val="BodyText"/>
        <w:spacing w:after="0" w:line="240" w:lineRule="auto"/>
        <w:rPr>
          <w:sz w:val="28"/>
          <w:szCs w:val="28"/>
          <w:lang w:val="en-US"/>
        </w:rPr>
      </w:pPr>
      <w:r w:rsidRPr="00AF194C">
        <w:rPr>
          <w:sz w:val="28"/>
          <w:szCs w:val="28"/>
          <w:lang w:val="en-US"/>
        </w:rPr>
        <w:t>The US is the undisputed leader in information technology/communications</w:t>
      </w:r>
      <w:r w:rsidR="0044784E" w:rsidRPr="00AF194C">
        <w:rPr>
          <w:sz w:val="28"/>
          <w:szCs w:val="28"/>
          <w:lang w:val="en-US"/>
        </w:rPr>
        <w:t xml:space="preserve"> and bio-pharmaceuticals</w:t>
      </w:r>
      <w:r w:rsidRPr="00AF194C">
        <w:rPr>
          <w:sz w:val="28"/>
          <w:szCs w:val="28"/>
          <w:lang w:val="en-US"/>
        </w:rPr>
        <w:t xml:space="preserve">. </w:t>
      </w:r>
    </w:p>
    <w:p w:rsidR="0044784E" w:rsidRPr="00AF194C" w:rsidRDefault="0044784E" w:rsidP="00EE716D">
      <w:pPr>
        <w:pStyle w:val="BodyText"/>
        <w:spacing w:after="0" w:line="240" w:lineRule="auto"/>
        <w:rPr>
          <w:sz w:val="28"/>
          <w:szCs w:val="28"/>
          <w:lang w:val="en-US"/>
        </w:rPr>
      </w:pPr>
    </w:p>
    <w:p w:rsidR="000C3AFB" w:rsidRPr="00AF194C" w:rsidRDefault="00692327" w:rsidP="00EE716D">
      <w:pPr>
        <w:pStyle w:val="BodyText"/>
        <w:spacing w:after="0" w:line="240" w:lineRule="auto"/>
        <w:rPr>
          <w:sz w:val="28"/>
          <w:szCs w:val="28"/>
          <w:lang w:val="en-US"/>
        </w:rPr>
      </w:pPr>
      <w:r w:rsidRPr="00AF194C">
        <w:rPr>
          <w:sz w:val="28"/>
          <w:szCs w:val="28"/>
          <w:lang w:val="en-US"/>
        </w:rPr>
        <w:t xml:space="preserve">Turkey, with its large, young, educated workforce, is one of the most promising markets for the industry’s expansion of the digital economy in Europe, the CIS and the Middle East, with the potential to become a regional hub for US IT/C and other digitally-enabled companies. </w:t>
      </w:r>
      <w:r w:rsidR="004E41C8" w:rsidRPr="00AF194C">
        <w:rPr>
          <w:sz w:val="28"/>
          <w:szCs w:val="28"/>
          <w:lang w:val="en-US"/>
        </w:rPr>
        <w:t xml:space="preserve"> </w:t>
      </w:r>
      <w:r w:rsidRPr="00AF194C">
        <w:rPr>
          <w:sz w:val="28"/>
          <w:szCs w:val="28"/>
          <w:lang w:val="en-US"/>
        </w:rPr>
        <w:t>This potential, however, has not been fully utilized due to several impediments to growth in the sector in Turkey.</w:t>
      </w:r>
    </w:p>
    <w:p w:rsidR="004C2065" w:rsidRPr="00AF194C" w:rsidRDefault="004C2065" w:rsidP="00EE716D">
      <w:pPr>
        <w:pStyle w:val="BodyText"/>
        <w:spacing w:after="0" w:line="240" w:lineRule="auto"/>
        <w:rPr>
          <w:sz w:val="28"/>
          <w:szCs w:val="28"/>
          <w:lang w:val="en-US"/>
        </w:rPr>
      </w:pPr>
    </w:p>
    <w:p w:rsidR="000C3AFB" w:rsidRPr="00AF194C" w:rsidRDefault="0044784E" w:rsidP="00EE716D">
      <w:pPr>
        <w:pStyle w:val="Default"/>
        <w:rPr>
          <w:rFonts w:asciiTheme="minorHAnsi" w:hAnsiTheme="minorHAnsi"/>
          <w:sz w:val="28"/>
          <w:szCs w:val="28"/>
        </w:rPr>
      </w:pPr>
      <w:r w:rsidRPr="00AF194C">
        <w:rPr>
          <w:rFonts w:asciiTheme="minorHAnsi" w:hAnsiTheme="minorHAnsi"/>
          <w:sz w:val="28"/>
          <w:szCs w:val="28"/>
        </w:rPr>
        <w:t>The Government of Turkey has made significant investments in its healthcare sector over the past decade, resulting in impressive improvements in health outcomes. However, it’s ranking on key pharmaceutical and healthcare indicators still barely meets the global average. Turkey is the 16th largest pharmaceutical market in the world, but ranks only 35th in share of pharmaceutical R&amp;D and manufacturing; it also lags compared to other similar sized markets in FDI for R&amp;D and manufacturing.</w:t>
      </w:r>
    </w:p>
    <w:p w:rsidR="000C3AFB" w:rsidRPr="00AF194C" w:rsidRDefault="000C3AFB" w:rsidP="00EE716D">
      <w:pPr>
        <w:pStyle w:val="Default"/>
        <w:rPr>
          <w:rFonts w:asciiTheme="minorHAnsi" w:hAnsiTheme="minorHAnsi"/>
          <w:sz w:val="28"/>
          <w:szCs w:val="28"/>
        </w:rPr>
      </w:pPr>
    </w:p>
    <w:p w:rsidR="0044784E" w:rsidRPr="00AF194C" w:rsidRDefault="0044784E" w:rsidP="00EE716D">
      <w:pPr>
        <w:pStyle w:val="Default"/>
        <w:rPr>
          <w:rFonts w:asciiTheme="minorHAnsi" w:hAnsiTheme="minorHAnsi"/>
          <w:sz w:val="28"/>
          <w:szCs w:val="28"/>
        </w:rPr>
      </w:pPr>
      <w:r w:rsidRPr="00AF194C">
        <w:rPr>
          <w:rFonts w:asciiTheme="minorHAnsi" w:hAnsiTheme="minorHAnsi"/>
          <w:sz w:val="28"/>
          <w:szCs w:val="28"/>
        </w:rPr>
        <w:t xml:space="preserve">To position itself as a major player in the life sciences, especially in pharmaceuticals, and to secure a greater share of global pharmaceutical investments, Turkey should consider recalibrating its policies especially in the area of intellectual property, a key component of the eco-system of innovation needed to create and support the life sciences industry. </w:t>
      </w:r>
    </w:p>
    <w:p w:rsidR="0044784E" w:rsidRPr="00AF194C" w:rsidRDefault="0044784E" w:rsidP="00EE716D">
      <w:pPr>
        <w:pStyle w:val="BodyText"/>
        <w:spacing w:after="0" w:line="240" w:lineRule="auto"/>
        <w:rPr>
          <w:sz w:val="28"/>
          <w:szCs w:val="28"/>
          <w:lang w:val="en-US"/>
        </w:rPr>
      </w:pPr>
    </w:p>
    <w:p w:rsidR="00692327" w:rsidRPr="00AF194C" w:rsidRDefault="00692327" w:rsidP="00EE716D">
      <w:pPr>
        <w:pStyle w:val="BodyText"/>
        <w:spacing w:after="0" w:line="240" w:lineRule="auto"/>
        <w:rPr>
          <w:sz w:val="28"/>
          <w:szCs w:val="28"/>
          <w:lang w:val="en-US"/>
        </w:rPr>
      </w:pPr>
      <w:r w:rsidRPr="00AF194C">
        <w:rPr>
          <w:sz w:val="28"/>
          <w:szCs w:val="28"/>
          <w:lang w:val="en-US"/>
        </w:rPr>
        <w:t xml:space="preserve">The following are steps which the Turkish government could take to encourage increased bilateral trade and investment to develop Turkey’s </w:t>
      </w:r>
      <w:r w:rsidR="003D2CC9" w:rsidRPr="00AF194C">
        <w:rPr>
          <w:sz w:val="28"/>
          <w:szCs w:val="28"/>
          <w:lang w:val="en-US"/>
        </w:rPr>
        <w:t xml:space="preserve">IP and </w:t>
      </w:r>
      <w:r w:rsidRPr="00AF194C">
        <w:rPr>
          <w:sz w:val="28"/>
          <w:szCs w:val="28"/>
          <w:lang w:val="en-US"/>
        </w:rPr>
        <w:t>IT/C capacity to host companies and operations that depend on internet and on other forms of advanced information a</w:t>
      </w:r>
      <w:r w:rsidR="009718EB" w:rsidRPr="00AF194C">
        <w:rPr>
          <w:sz w:val="28"/>
          <w:szCs w:val="28"/>
          <w:lang w:val="en-US"/>
        </w:rPr>
        <w:t>nd communications technologies</w:t>
      </w:r>
      <w:r w:rsidRPr="00AF194C">
        <w:rPr>
          <w:sz w:val="28"/>
          <w:szCs w:val="28"/>
          <w:lang w:val="en-US"/>
        </w:rPr>
        <w:t>:</w:t>
      </w:r>
    </w:p>
    <w:p w:rsidR="004E41C8" w:rsidRPr="00AF194C" w:rsidRDefault="004E41C8" w:rsidP="00EE716D">
      <w:pPr>
        <w:pStyle w:val="BodyText"/>
        <w:spacing w:after="0" w:line="240" w:lineRule="auto"/>
        <w:rPr>
          <w:sz w:val="28"/>
          <w:szCs w:val="28"/>
          <w:lang w:val="en-US"/>
        </w:rPr>
      </w:pPr>
    </w:p>
    <w:p w:rsidR="00692327" w:rsidRPr="00034E05" w:rsidRDefault="00692327" w:rsidP="00EE716D">
      <w:pPr>
        <w:pStyle w:val="BodyText"/>
        <w:spacing w:after="0" w:line="240" w:lineRule="auto"/>
        <w:ind w:left="360" w:hanging="360"/>
        <w:rPr>
          <w:b/>
          <w:sz w:val="28"/>
          <w:szCs w:val="28"/>
          <w:lang w:val="en-US"/>
        </w:rPr>
      </w:pPr>
      <w:r w:rsidRPr="00034E05">
        <w:rPr>
          <w:b/>
          <w:sz w:val="28"/>
          <w:szCs w:val="28"/>
          <w:lang w:val="en-US"/>
        </w:rPr>
        <w:lastRenderedPageBreak/>
        <w:t>1.</w:t>
      </w:r>
      <w:r w:rsidRPr="00034E05">
        <w:rPr>
          <w:b/>
          <w:sz w:val="28"/>
          <w:szCs w:val="28"/>
          <w:lang w:val="en-US"/>
        </w:rPr>
        <w:tab/>
        <w:t>IP and Data Protection</w:t>
      </w:r>
    </w:p>
    <w:p w:rsidR="00864A43" w:rsidRPr="00F3419E" w:rsidRDefault="00864A43" w:rsidP="00637B4E">
      <w:pPr>
        <w:pStyle w:val="Default"/>
        <w:rPr>
          <w:rFonts w:asciiTheme="minorHAnsi" w:hAnsiTheme="minorHAnsi" w:cstheme="minorHAnsi"/>
          <w:sz w:val="28"/>
          <w:szCs w:val="28"/>
        </w:rPr>
      </w:pPr>
    </w:p>
    <w:p w:rsidR="00F3419E" w:rsidRPr="00F3419E" w:rsidRDefault="00F3419E" w:rsidP="00637B4E">
      <w:pPr>
        <w:pStyle w:val="Default"/>
        <w:rPr>
          <w:rFonts w:asciiTheme="minorHAnsi" w:hAnsiTheme="minorHAnsi" w:cstheme="minorHAnsi"/>
          <w:b/>
          <w:sz w:val="28"/>
          <w:szCs w:val="28"/>
        </w:rPr>
      </w:pPr>
      <w:r w:rsidRPr="00F3419E">
        <w:rPr>
          <w:rFonts w:asciiTheme="minorHAnsi" w:hAnsiTheme="minorHAnsi" w:cstheme="minorHAnsi"/>
          <w:b/>
          <w:sz w:val="28"/>
          <w:szCs w:val="28"/>
        </w:rPr>
        <w:t>Draft "Law on Industrial Property"</w:t>
      </w:r>
    </w:p>
    <w:p w:rsidR="00F3419E" w:rsidRPr="00F3419E" w:rsidRDefault="00F3419E" w:rsidP="00637B4E">
      <w:pPr>
        <w:pStyle w:val="Default"/>
        <w:rPr>
          <w:rFonts w:asciiTheme="minorHAnsi" w:hAnsiTheme="minorHAnsi" w:cstheme="minorHAnsi"/>
          <w:sz w:val="28"/>
          <w:szCs w:val="28"/>
        </w:rPr>
      </w:pPr>
    </w:p>
    <w:p w:rsidR="00260C4A" w:rsidRPr="00F3419E" w:rsidRDefault="00864A43" w:rsidP="009C2603">
      <w:pPr>
        <w:pStyle w:val="BodyText"/>
        <w:spacing w:after="0" w:line="240" w:lineRule="auto"/>
        <w:rPr>
          <w:rFonts w:ascii="Times New Roman" w:hAnsi="Times New Roman" w:cs="Times New Roman"/>
          <w:b/>
          <w:sz w:val="28"/>
          <w:szCs w:val="28"/>
          <w:lang w:val="en-US"/>
        </w:rPr>
      </w:pPr>
      <w:r w:rsidRPr="00F3419E">
        <w:rPr>
          <w:rFonts w:asciiTheme="minorHAnsi" w:hAnsiTheme="minorHAnsi" w:cstheme="minorHAnsi"/>
          <w:sz w:val="28"/>
          <w:szCs w:val="28"/>
        </w:rPr>
        <w:t>As has been well-publicized, Turkey has suffered from a chronic weakness</w:t>
      </w:r>
      <w:r w:rsidRPr="00F3419E">
        <w:rPr>
          <w:sz w:val="28"/>
          <w:szCs w:val="28"/>
        </w:rPr>
        <w:t xml:space="preserve"> in the protection of intellectual property rights, particularly for trademarks, patents and industrial designs from the time these rights were first regulated by various decrees (</w:t>
      </w:r>
      <w:r w:rsidRPr="00F3419E">
        <w:rPr>
          <w:i/>
          <w:sz w:val="28"/>
          <w:szCs w:val="28"/>
          <w:lang w:val="tr-TR"/>
        </w:rPr>
        <w:t>Kanun Hükmünde Kararname</w:t>
      </w:r>
      <w:r w:rsidRPr="00F3419E">
        <w:rPr>
          <w:sz w:val="28"/>
          <w:szCs w:val="28"/>
        </w:rPr>
        <w:t xml:space="preserve">) adopted in 1995. </w:t>
      </w:r>
    </w:p>
    <w:p w:rsidR="00260C4A" w:rsidRPr="00AF194C" w:rsidRDefault="00260C4A" w:rsidP="00EE716D">
      <w:pPr>
        <w:pStyle w:val="BodyText"/>
        <w:spacing w:after="0" w:line="240" w:lineRule="auto"/>
        <w:ind w:left="720"/>
        <w:rPr>
          <w:sz w:val="28"/>
          <w:szCs w:val="28"/>
          <w:lang w:val="en-US"/>
        </w:rPr>
      </w:pPr>
    </w:p>
    <w:p w:rsidR="00260C4A" w:rsidRPr="00AF194C" w:rsidRDefault="00625E90" w:rsidP="009C2603">
      <w:pPr>
        <w:pStyle w:val="BodyText"/>
        <w:spacing w:after="0" w:line="240" w:lineRule="auto"/>
        <w:rPr>
          <w:rFonts w:asciiTheme="minorHAnsi" w:hAnsiTheme="minorHAnsi"/>
          <w:sz w:val="28"/>
          <w:szCs w:val="28"/>
          <w:lang w:val="en-US"/>
        </w:rPr>
      </w:pPr>
      <w:r w:rsidRPr="00AF194C">
        <w:rPr>
          <w:sz w:val="28"/>
          <w:szCs w:val="28"/>
          <w:lang w:val="en-US"/>
        </w:rPr>
        <w:t xml:space="preserve">Turkey has </w:t>
      </w:r>
      <w:r w:rsidR="00260C4A" w:rsidRPr="00AF194C">
        <w:rPr>
          <w:sz w:val="28"/>
          <w:szCs w:val="28"/>
          <w:lang w:val="en-US"/>
        </w:rPr>
        <w:t xml:space="preserve">now </w:t>
      </w:r>
      <w:r w:rsidRPr="00AF194C">
        <w:rPr>
          <w:sz w:val="28"/>
          <w:szCs w:val="28"/>
          <w:lang w:val="en-US"/>
        </w:rPr>
        <w:t xml:space="preserve">prepared a single, comprehensive law to replace Turkey's patchwork of decrees governing the intellectual property. </w:t>
      </w:r>
      <w:r w:rsidR="00864A43" w:rsidRPr="00AF194C">
        <w:rPr>
          <w:sz w:val="28"/>
          <w:szCs w:val="28"/>
          <w:lang w:val="en-US"/>
        </w:rPr>
        <w:t xml:space="preserve">The final draft of the "Law on Industrial Property" was submitted on April 6, 2016 to the Turkish Parliament. The draft would substantially strengthen the protection of intellectual property </w:t>
      </w:r>
      <w:r w:rsidR="00864A43" w:rsidRPr="00AF194C">
        <w:rPr>
          <w:rFonts w:asciiTheme="minorHAnsi" w:hAnsiTheme="minorHAnsi"/>
          <w:sz w:val="28"/>
          <w:szCs w:val="28"/>
          <w:lang w:val="en-US"/>
        </w:rPr>
        <w:t>rights in Turkey</w:t>
      </w:r>
      <w:r w:rsidR="0044784E" w:rsidRPr="00AF194C">
        <w:rPr>
          <w:rFonts w:asciiTheme="minorHAnsi" w:hAnsiTheme="minorHAnsi"/>
          <w:sz w:val="28"/>
          <w:szCs w:val="28"/>
          <w:lang w:val="en-US"/>
        </w:rPr>
        <w:t xml:space="preserve"> but also needs to address some outstanding important IP issues</w:t>
      </w:r>
      <w:r w:rsidR="00864A43" w:rsidRPr="00AF194C">
        <w:rPr>
          <w:rFonts w:asciiTheme="minorHAnsi" w:hAnsiTheme="minorHAnsi"/>
          <w:sz w:val="28"/>
          <w:szCs w:val="28"/>
          <w:lang w:val="en-US"/>
        </w:rPr>
        <w:t>.</w:t>
      </w:r>
      <w:r w:rsidR="00407D27" w:rsidRPr="00AF194C">
        <w:rPr>
          <w:rFonts w:asciiTheme="minorHAnsi" w:hAnsiTheme="minorHAnsi"/>
          <w:sz w:val="28"/>
          <w:szCs w:val="28"/>
          <w:lang w:val="en-US"/>
        </w:rPr>
        <w:t xml:space="preserve">  </w:t>
      </w:r>
    </w:p>
    <w:p w:rsidR="00260C4A" w:rsidRPr="00AF194C" w:rsidRDefault="00260C4A" w:rsidP="00EE716D">
      <w:pPr>
        <w:pStyle w:val="BodyText"/>
        <w:spacing w:after="0" w:line="240" w:lineRule="auto"/>
        <w:ind w:left="720"/>
        <w:rPr>
          <w:rFonts w:asciiTheme="minorHAnsi" w:hAnsiTheme="minorHAnsi"/>
          <w:sz w:val="28"/>
          <w:szCs w:val="28"/>
          <w:lang w:val="en-US"/>
        </w:rPr>
      </w:pPr>
    </w:p>
    <w:p w:rsidR="00A809A7" w:rsidRPr="00AF194C" w:rsidRDefault="00407D27" w:rsidP="009C2603">
      <w:pPr>
        <w:pStyle w:val="BodyText"/>
        <w:spacing w:after="0" w:line="240" w:lineRule="auto"/>
        <w:rPr>
          <w:rFonts w:asciiTheme="minorHAnsi" w:hAnsiTheme="minorHAnsi"/>
          <w:sz w:val="28"/>
          <w:szCs w:val="28"/>
          <w:lang w:val="en-US"/>
        </w:rPr>
      </w:pPr>
      <w:r w:rsidRPr="00AF194C">
        <w:rPr>
          <w:rFonts w:asciiTheme="minorHAnsi" w:hAnsiTheme="minorHAnsi"/>
          <w:sz w:val="28"/>
          <w:szCs w:val="28"/>
          <w:lang w:val="en-US"/>
        </w:rPr>
        <w:t xml:space="preserve">For example, </w:t>
      </w:r>
      <w:r w:rsidRPr="00AF194C">
        <w:rPr>
          <w:rFonts w:asciiTheme="minorHAnsi" w:hAnsiTheme="minorHAnsi" w:cs="Times New Roman"/>
          <w:sz w:val="28"/>
          <w:szCs w:val="28"/>
        </w:rPr>
        <w:t>while some of the draft provisions represent welcome advances in aligning Turkey’s intellectual property laws and practices with the European Convention on Patents (EPC) and the Agreement on Trade-Related Aspects of Intellectual Property Rights (TRIPS),</w:t>
      </w:r>
      <w:r w:rsidR="009F0D2A" w:rsidRPr="00AF194C">
        <w:rPr>
          <w:rFonts w:asciiTheme="minorHAnsi" w:hAnsiTheme="minorHAnsi" w:cs="Times New Roman"/>
          <w:sz w:val="28"/>
          <w:szCs w:val="28"/>
        </w:rPr>
        <w:t xml:space="preserve"> </w:t>
      </w:r>
      <w:r w:rsidR="00A809A7" w:rsidRPr="00AF194C">
        <w:rPr>
          <w:rFonts w:asciiTheme="minorHAnsi" w:hAnsiTheme="minorHAnsi" w:cs="Times New Roman"/>
          <w:sz w:val="28"/>
          <w:szCs w:val="28"/>
        </w:rPr>
        <w:t xml:space="preserve">the draft </w:t>
      </w:r>
      <w:r w:rsidR="009F0D2A" w:rsidRPr="00AF194C">
        <w:rPr>
          <w:rFonts w:asciiTheme="minorHAnsi" w:hAnsiTheme="minorHAnsi" w:cs="Times New Roman"/>
          <w:sz w:val="28"/>
          <w:szCs w:val="28"/>
        </w:rPr>
        <w:t>l</w:t>
      </w:r>
      <w:r w:rsidR="00A809A7" w:rsidRPr="00AF194C">
        <w:rPr>
          <w:rFonts w:asciiTheme="minorHAnsi" w:hAnsiTheme="minorHAnsi" w:cs="Times New Roman"/>
          <w:sz w:val="28"/>
          <w:szCs w:val="28"/>
        </w:rPr>
        <w:t xml:space="preserve">aw </w:t>
      </w:r>
      <w:r w:rsidR="00A809A7" w:rsidRPr="00AF194C">
        <w:rPr>
          <w:rFonts w:asciiTheme="minorHAnsi" w:hAnsiTheme="minorHAnsi"/>
          <w:sz w:val="28"/>
          <w:szCs w:val="28"/>
          <w:lang w:val="en-US"/>
        </w:rPr>
        <w:t xml:space="preserve">lacks provisions for patent term extensions to balance </w:t>
      </w:r>
      <w:r w:rsidR="002547FA" w:rsidRPr="00AF194C">
        <w:rPr>
          <w:rFonts w:asciiTheme="minorHAnsi" w:hAnsiTheme="minorHAnsi"/>
          <w:sz w:val="28"/>
          <w:szCs w:val="28"/>
          <w:lang w:val="en-US"/>
        </w:rPr>
        <w:t xml:space="preserve">what appears to be intended as a </w:t>
      </w:r>
      <w:r w:rsidR="00A809A7" w:rsidRPr="00AF194C">
        <w:rPr>
          <w:rFonts w:asciiTheme="minorHAnsi" w:hAnsiTheme="minorHAnsi"/>
          <w:sz w:val="28"/>
          <w:szCs w:val="28"/>
          <w:lang w:val="en-US"/>
        </w:rPr>
        <w:t>Bolar exception</w:t>
      </w:r>
      <w:r w:rsidR="009F0D2A" w:rsidRPr="00AF194C">
        <w:rPr>
          <w:rFonts w:asciiTheme="minorHAnsi" w:hAnsiTheme="minorHAnsi"/>
          <w:sz w:val="28"/>
          <w:szCs w:val="28"/>
          <w:lang w:val="en-US"/>
        </w:rPr>
        <w:t>.</w:t>
      </w:r>
      <w:r w:rsidR="002547FA" w:rsidRPr="00AF194C">
        <w:rPr>
          <w:rFonts w:asciiTheme="minorHAnsi" w:hAnsiTheme="minorHAnsi"/>
          <w:sz w:val="28"/>
          <w:szCs w:val="28"/>
          <w:lang w:val="en-US"/>
        </w:rPr>
        <w:t xml:space="preserve"> </w:t>
      </w:r>
      <w:r w:rsidR="00C523A9" w:rsidRPr="00AF194C">
        <w:rPr>
          <w:rFonts w:asciiTheme="minorHAnsi" w:hAnsiTheme="minorHAnsi"/>
          <w:sz w:val="28"/>
          <w:szCs w:val="28"/>
          <w:lang w:val="en-US"/>
        </w:rPr>
        <w:t xml:space="preserve">Article </w:t>
      </w:r>
      <w:r w:rsidR="00A809A7" w:rsidRPr="00AF194C">
        <w:rPr>
          <w:rFonts w:asciiTheme="minorHAnsi" w:hAnsiTheme="minorHAnsi"/>
          <w:sz w:val="28"/>
          <w:szCs w:val="28"/>
          <w:lang w:val="en-US"/>
        </w:rPr>
        <w:t>87</w:t>
      </w:r>
      <w:r w:rsidR="002547FA" w:rsidRPr="00AF194C">
        <w:rPr>
          <w:rFonts w:asciiTheme="minorHAnsi" w:hAnsiTheme="minorHAnsi"/>
          <w:sz w:val="28"/>
          <w:szCs w:val="28"/>
          <w:lang w:val="en-US"/>
        </w:rPr>
        <w:t xml:space="preserve"> </w:t>
      </w:r>
      <w:r w:rsidR="002515EF" w:rsidRPr="00AF194C">
        <w:rPr>
          <w:rFonts w:asciiTheme="minorHAnsi" w:hAnsiTheme="minorHAnsi"/>
          <w:sz w:val="28"/>
          <w:szCs w:val="28"/>
          <w:lang w:val="en-US"/>
        </w:rPr>
        <w:t xml:space="preserve">may be interpreted as </w:t>
      </w:r>
      <w:r w:rsidR="000D7CE4" w:rsidRPr="00AF194C">
        <w:rPr>
          <w:rFonts w:asciiTheme="minorHAnsi" w:hAnsiTheme="minorHAnsi"/>
          <w:sz w:val="28"/>
          <w:szCs w:val="28"/>
          <w:lang w:val="en-US"/>
        </w:rPr>
        <w:t>excluding from patent rights the right to exclude others from certain activity.</w:t>
      </w:r>
      <w:r w:rsidR="000D7CE4" w:rsidRPr="00AF194C">
        <w:rPr>
          <w:rStyle w:val="CommentReference"/>
          <w:sz w:val="28"/>
          <w:szCs w:val="28"/>
        </w:rPr>
        <w:t xml:space="preserve"> </w:t>
      </w:r>
      <w:r w:rsidR="002515EF" w:rsidRPr="00AF194C">
        <w:rPr>
          <w:rFonts w:asciiTheme="minorHAnsi" w:hAnsiTheme="minorHAnsi"/>
          <w:sz w:val="28"/>
          <w:szCs w:val="28"/>
          <w:lang w:val="en-US"/>
        </w:rPr>
        <w:t xml:space="preserve"> </w:t>
      </w:r>
      <w:r w:rsidR="000D7CE4" w:rsidRPr="00AF194C">
        <w:rPr>
          <w:rFonts w:asciiTheme="minorHAnsi" w:hAnsiTheme="minorHAnsi"/>
          <w:sz w:val="28"/>
          <w:szCs w:val="28"/>
          <w:lang w:val="en-US"/>
        </w:rPr>
        <w:t xml:space="preserve">One such activity is </w:t>
      </w:r>
      <w:r w:rsidR="00333C67" w:rsidRPr="00AF194C">
        <w:rPr>
          <w:rFonts w:asciiTheme="minorHAnsi" w:hAnsiTheme="minorHAnsi"/>
          <w:sz w:val="28"/>
          <w:szCs w:val="28"/>
          <w:lang w:val="en-US"/>
        </w:rPr>
        <w:t>experimental acts related to registration of a medicine an</w:t>
      </w:r>
      <w:r w:rsidR="00C523A9" w:rsidRPr="00AF194C">
        <w:rPr>
          <w:rFonts w:asciiTheme="minorHAnsi" w:hAnsiTheme="minorHAnsi"/>
          <w:sz w:val="28"/>
          <w:szCs w:val="28"/>
          <w:lang w:val="en-US"/>
        </w:rPr>
        <w:t>d relevant tests and experiments</w:t>
      </w:r>
      <w:r w:rsidR="00267469" w:rsidRPr="00AF194C">
        <w:rPr>
          <w:rFonts w:asciiTheme="minorHAnsi" w:hAnsiTheme="minorHAnsi"/>
          <w:sz w:val="28"/>
          <w:szCs w:val="28"/>
          <w:lang w:val="en-US"/>
        </w:rPr>
        <w:t xml:space="preserve"> in Art. 87(4)(c)</w:t>
      </w:r>
      <w:r w:rsidR="00C523A9" w:rsidRPr="00AF194C">
        <w:rPr>
          <w:rFonts w:asciiTheme="minorHAnsi" w:hAnsiTheme="minorHAnsi"/>
          <w:sz w:val="28"/>
          <w:szCs w:val="28"/>
          <w:lang w:val="en-US"/>
        </w:rPr>
        <w:t xml:space="preserve">. </w:t>
      </w:r>
      <w:r w:rsidR="003527CB" w:rsidRPr="00AF194C">
        <w:rPr>
          <w:rFonts w:asciiTheme="minorHAnsi" w:hAnsiTheme="minorHAnsi"/>
          <w:sz w:val="28"/>
          <w:szCs w:val="28"/>
          <w:lang w:val="en-US"/>
        </w:rPr>
        <w:t xml:space="preserve">This cutback in the property right of a patent must be balanced with similar provisions that provide patent term extension </w:t>
      </w:r>
      <w:r w:rsidR="00F10F72" w:rsidRPr="00AF194C">
        <w:rPr>
          <w:rFonts w:asciiTheme="minorHAnsi" w:hAnsiTheme="minorHAnsi"/>
          <w:sz w:val="28"/>
          <w:szCs w:val="28"/>
          <w:lang w:val="en-US"/>
        </w:rPr>
        <w:t xml:space="preserve">(or supplemental certificate) for </w:t>
      </w:r>
      <w:r w:rsidR="009227A0" w:rsidRPr="00AF194C">
        <w:rPr>
          <w:rFonts w:asciiTheme="minorHAnsi" w:hAnsiTheme="minorHAnsi"/>
          <w:sz w:val="28"/>
          <w:szCs w:val="28"/>
          <w:lang w:val="en-US"/>
        </w:rPr>
        <w:t xml:space="preserve">a </w:t>
      </w:r>
      <w:r w:rsidR="00F10F72" w:rsidRPr="00AF194C">
        <w:rPr>
          <w:rFonts w:asciiTheme="minorHAnsi" w:hAnsiTheme="minorHAnsi"/>
          <w:sz w:val="28"/>
          <w:szCs w:val="28"/>
          <w:lang w:val="en-US"/>
        </w:rPr>
        <w:t>patent term that was lost during the time that a medicine was undergoing testing and review for regulatory approval</w:t>
      </w:r>
      <w:r w:rsidR="00A809A7" w:rsidRPr="00AF194C">
        <w:rPr>
          <w:rFonts w:asciiTheme="minorHAnsi" w:hAnsiTheme="minorHAnsi"/>
          <w:sz w:val="28"/>
          <w:szCs w:val="28"/>
          <w:lang w:val="en-US"/>
        </w:rPr>
        <w:t>.</w:t>
      </w:r>
      <w:r w:rsidR="00F10F72" w:rsidRPr="00AF194C">
        <w:rPr>
          <w:rFonts w:asciiTheme="minorHAnsi" w:hAnsiTheme="minorHAnsi"/>
          <w:sz w:val="28"/>
          <w:szCs w:val="28"/>
          <w:lang w:val="en-US"/>
        </w:rPr>
        <w:t xml:space="preserve">  This is a significant </w:t>
      </w:r>
      <w:r w:rsidR="00D57DDF" w:rsidRPr="00AF194C">
        <w:rPr>
          <w:rFonts w:asciiTheme="minorHAnsi" w:hAnsiTheme="minorHAnsi"/>
          <w:sz w:val="28"/>
          <w:szCs w:val="28"/>
          <w:lang w:val="en-US"/>
        </w:rPr>
        <w:t xml:space="preserve">gap </w:t>
      </w:r>
      <w:r w:rsidR="00F10F72" w:rsidRPr="00AF194C">
        <w:rPr>
          <w:rFonts w:asciiTheme="minorHAnsi" w:hAnsiTheme="minorHAnsi"/>
          <w:sz w:val="28"/>
          <w:szCs w:val="28"/>
          <w:lang w:val="en-US"/>
        </w:rPr>
        <w:t>in Turkey</w:t>
      </w:r>
      <w:r w:rsidR="00D57DDF" w:rsidRPr="00AF194C">
        <w:rPr>
          <w:rFonts w:asciiTheme="minorHAnsi" w:hAnsiTheme="minorHAnsi"/>
          <w:sz w:val="28"/>
          <w:szCs w:val="28"/>
          <w:lang w:val="en-US"/>
        </w:rPr>
        <w:t>'s law</w:t>
      </w:r>
      <w:r w:rsidR="00F10F72" w:rsidRPr="00AF194C">
        <w:rPr>
          <w:rFonts w:asciiTheme="minorHAnsi" w:hAnsiTheme="minorHAnsi"/>
          <w:sz w:val="28"/>
          <w:szCs w:val="28"/>
          <w:lang w:val="en-US"/>
        </w:rPr>
        <w:t xml:space="preserve">, which </w:t>
      </w:r>
      <w:r w:rsidR="00D57DDF" w:rsidRPr="00AF194C">
        <w:rPr>
          <w:rFonts w:asciiTheme="minorHAnsi" w:hAnsiTheme="minorHAnsi"/>
          <w:sz w:val="28"/>
          <w:szCs w:val="28"/>
          <w:lang w:val="en-US"/>
        </w:rPr>
        <w:t xml:space="preserve">we believe is the </w:t>
      </w:r>
      <w:r w:rsidR="00F10F72" w:rsidRPr="00AF194C">
        <w:rPr>
          <w:rFonts w:asciiTheme="minorHAnsi" w:hAnsiTheme="minorHAnsi"/>
          <w:sz w:val="28"/>
          <w:szCs w:val="28"/>
          <w:lang w:val="en-US"/>
        </w:rPr>
        <w:t xml:space="preserve">sole member of the European Patent Conventions </w:t>
      </w:r>
      <w:r w:rsidR="00D57DDF" w:rsidRPr="00AF194C">
        <w:rPr>
          <w:rFonts w:asciiTheme="minorHAnsi" w:hAnsiTheme="minorHAnsi"/>
          <w:sz w:val="28"/>
          <w:szCs w:val="28"/>
          <w:lang w:val="en-US"/>
        </w:rPr>
        <w:t xml:space="preserve">(EPC) </w:t>
      </w:r>
      <w:r w:rsidR="00F10F72" w:rsidRPr="00AF194C">
        <w:rPr>
          <w:rFonts w:asciiTheme="minorHAnsi" w:hAnsiTheme="minorHAnsi"/>
          <w:sz w:val="28"/>
          <w:szCs w:val="28"/>
          <w:lang w:val="en-US"/>
        </w:rPr>
        <w:t>lacking such provisions.</w:t>
      </w:r>
    </w:p>
    <w:p w:rsidR="00267469" w:rsidRPr="00AF194C" w:rsidRDefault="00267469" w:rsidP="00A809A7">
      <w:pPr>
        <w:pStyle w:val="BodyText"/>
        <w:spacing w:after="0" w:line="240" w:lineRule="auto"/>
        <w:ind w:left="720"/>
        <w:rPr>
          <w:rFonts w:asciiTheme="minorHAnsi" w:hAnsiTheme="minorHAnsi"/>
          <w:sz w:val="28"/>
          <w:szCs w:val="28"/>
          <w:lang w:val="en-US"/>
        </w:rPr>
      </w:pPr>
    </w:p>
    <w:p w:rsidR="00267469" w:rsidRPr="00AF194C" w:rsidRDefault="00267469" w:rsidP="009C2603">
      <w:pPr>
        <w:pStyle w:val="BodyText"/>
        <w:spacing w:after="0" w:line="240" w:lineRule="auto"/>
        <w:rPr>
          <w:rFonts w:asciiTheme="minorHAnsi" w:hAnsiTheme="minorHAnsi"/>
          <w:sz w:val="28"/>
          <w:szCs w:val="28"/>
          <w:lang w:val="en-US"/>
        </w:rPr>
      </w:pPr>
      <w:r w:rsidRPr="00AF194C">
        <w:rPr>
          <w:rFonts w:asciiTheme="minorHAnsi" w:hAnsiTheme="minorHAnsi"/>
          <w:sz w:val="28"/>
          <w:szCs w:val="28"/>
          <w:lang w:val="en-US"/>
        </w:rPr>
        <w:t xml:space="preserve">Art. 87(4)(c) </w:t>
      </w:r>
      <w:r w:rsidR="00C33D40" w:rsidRPr="00AF194C">
        <w:rPr>
          <w:rFonts w:asciiTheme="minorHAnsi" w:hAnsiTheme="minorHAnsi"/>
          <w:sz w:val="28"/>
          <w:szCs w:val="28"/>
          <w:lang w:val="en-US"/>
        </w:rPr>
        <w:t xml:space="preserve">enumerates another apparent exclusion from the patent right related to </w:t>
      </w:r>
      <w:r w:rsidR="0037448A" w:rsidRPr="00AF194C">
        <w:rPr>
          <w:rFonts w:asciiTheme="minorHAnsi" w:hAnsiTheme="minorHAnsi"/>
          <w:sz w:val="28"/>
          <w:szCs w:val="28"/>
          <w:lang w:val="en-US"/>
        </w:rPr>
        <w:t xml:space="preserve">medicines prepared without mass production.  While certain </w:t>
      </w:r>
      <w:r w:rsidR="009A321F" w:rsidRPr="00AF194C">
        <w:rPr>
          <w:rFonts w:asciiTheme="minorHAnsi" w:hAnsiTheme="minorHAnsi"/>
          <w:sz w:val="28"/>
          <w:szCs w:val="28"/>
          <w:lang w:val="en-US"/>
        </w:rPr>
        <w:t>exceptions from patent infringement may be available when they involve the treatment of patients, the current language</w:t>
      </w:r>
      <w:r w:rsidR="009227A0" w:rsidRPr="00AF194C">
        <w:rPr>
          <w:rFonts w:asciiTheme="minorHAnsi" w:hAnsiTheme="minorHAnsi"/>
          <w:sz w:val="28"/>
          <w:szCs w:val="28"/>
          <w:lang w:val="en-US"/>
        </w:rPr>
        <w:t>,</w:t>
      </w:r>
      <w:r w:rsidR="009A321F" w:rsidRPr="00AF194C">
        <w:rPr>
          <w:rFonts w:asciiTheme="minorHAnsi" w:hAnsiTheme="minorHAnsi"/>
          <w:sz w:val="28"/>
          <w:szCs w:val="28"/>
          <w:lang w:val="en-US"/>
        </w:rPr>
        <w:t xml:space="preserve"> which refers to </w:t>
      </w:r>
      <w:r w:rsidR="009227A0" w:rsidRPr="00AF194C">
        <w:rPr>
          <w:rFonts w:asciiTheme="minorHAnsi" w:hAnsiTheme="minorHAnsi"/>
          <w:sz w:val="28"/>
          <w:szCs w:val="28"/>
          <w:lang w:val="en-US"/>
        </w:rPr>
        <w:t xml:space="preserve">the </w:t>
      </w:r>
      <w:r w:rsidR="009A321F" w:rsidRPr="00AF194C">
        <w:rPr>
          <w:rFonts w:asciiTheme="minorHAnsi" w:hAnsiTheme="minorHAnsi"/>
          <w:sz w:val="28"/>
          <w:szCs w:val="28"/>
          <w:lang w:val="en-US"/>
        </w:rPr>
        <w:t xml:space="preserve">activity of pharmacies rather than an individual pharmacist and suggests that products that are not under </w:t>
      </w:r>
      <w:r w:rsidR="0037448A" w:rsidRPr="00AF194C">
        <w:rPr>
          <w:rFonts w:asciiTheme="minorHAnsi" w:hAnsiTheme="minorHAnsi"/>
          <w:sz w:val="28"/>
          <w:szCs w:val="28"/>
          <w:lang w:val="en-US"/>
        </w:rPr>
        <w:lastRenderedPageBreak/>
        <w:t xml:space="preserve">"mass production" </w:t>
      </w:r>
      <w:r w:rsidR="009A321F" w:rsidRPr="00AF194C">
        <w:rPr>
          <w:rFonts w:asciiTheme="minorHAnsi" w:hAnsiTheme="minorHAnsi"/>
          <w:sz w:val="28"/>
          <w:szCs w:val="28"/>
          <w:lang w:val="en-US"/>
        </w:rPr>
        <w:t>would be excluded</w:t>
      </w:r>
      <w:r w:rsidR="009227A0" w:rsidRPr="00AF194C">
        <w:rPr>
          <w:rFonts w:asciiTheme="minorHAnsi" w:hAnsiTheme="minorHAnsi"/>
          <w:sz w:val="28"/>
          <w:szCs w:val="28"/>
          <w:lang w:val="en-US"/>
        </w:rPr>
        <w:t>,</w:t>
      </w:r>
      <w:r w:rsidR="009A321F" w:rsidRPr="00AF194C">
        <w:rPr>
          <w:rFonts w:asciiTheme="minorHAnsi" w:hAnsiTheme="minorHAnsi"/>
          <w:sz w:val="28"/>
          <w:szCs w:val="28"/>
          <w:lang w:val="en-US"/>
        </w:rPr>
        <w:t xml:space="preserve"> </w:t>
      </w:r>
      <w:r w:rsidR="0037448A" w:rsidRPr="00AF194C">
        <w:rPr>
          <w:rFonts w:asciiTheme="minorHAnsi" w:hAnsiTheme="minorHAnsi"/>
          <w:sz w:val="28"/>
          <w:szCs w:val="28"/>
          <w:lang w:val="en-US"/>
        </w:rPr>
        <w:t>is ambiguous present</w:t>
      </w:r>
      <w:r w:rsidR="009A321F" w:rsidRPr="00AF194C">
        <w:rPr>
          <w:rFonts w:asciiTheme="minorHAnsi" w:hAnsiTheme="minorHAnsi"/>
          <w:sz w:val="28"/>
          <w:szCs w:val="28"/>
          <w:lang w:val="en-US"/>
        </w:rPr>
        <w:t>s</w:t>
      </w:r>
      <w:r w:rsidR="0037448A" w:rsidRPr="00AF194C">
        <w:rPr>
          <w:rFonts w:asciiTheme="minorHAnsi" w:hAnsiTheme="minorHAnsi"/>
          <w:sz w:val="28"/>
          <w:szCs w:val="28"/>
          <w:lang w:val="en-US"/>
        </w:rPr>
        <w:t xml:space="preserve"> </w:t>
      </w:r>
      <w:r w:rsidR="009227A0" w:rsidRPr="00AF194C">
        <w:rPr>
          <w:rFonts w:asciiTheme="minorHAnsi" w:hAnsiTheme="minorHAnsi"/>
          <w:sz w:val="28"/>
          <w:szCs w:val="28"/>
          <w:lang w:val="en-US"/>
        </w:rPr>
        <w:t>a</w:t>
      </w:r>
      <w:r w:rsidR="009A321F" w:rsidRPr="00AF194C">
        <w:rPr>
          <w:rFonts w:asciiTheme="minorHAnsi" w:hAnsiTheme="minorHAnsi"/>
          <w:sz w:val="28"/>
          <w:szCs w:val="28"/>
          <w:lang w:val="en-US"/>
        </w:rPr>
        <w:t xml:space="preserve"> risk that the provision will be used </w:t>
      </w:r>
      <w:r w:rsidR="0037448A" w:rsidRPr="00AF194C">
        <w:rPr>
          <w:rFonts w:asciiTheme="minorHAnsi" w:hAnsiTheme="minorHAnsi"/>
          <w:sz w:val="28"/>
          <w:szCs w:val="28"/>
          <w:lang w:val="en-US"/>
        </w:rPr>
        <w:t xml:space="preserve">for circumventing </w:t>
      </w:r>
      <w:r w:rsidR="00B7340A" w:rsidRPr="00AF194C">
        <w:rPr>
          <w:rFonts w:asciiTheme="minorHAnsi" w:hAnsiTheme="minorHAnsi"/>
          <w:sz w:val="28"/>
          <w:szCs w:val="28"/>
          <w:lang w:val="en-US"/>
        </w:rPr>
        <w:t xml:space="preserve">the </w:t>
      </w:r>
      <w:r w:rsidR="0037448A" w:rsidRPr="00AF194C">
        <w:rPr>
          <w:rFonts w:asciiTheme="minorHAnsi" w:hAnsiTheme="minorHAnsi"/>
          <w:sz w:val="28"/>
          <w:szCs w:val="28"/>
          <w:lang w:val="en-US"/>
        </w:rPr>
        <w:t>rights</w:t>
      </w:r>
      <w:r w:rsidR="00B7340A" w:rsidRPr="00AF194C">
        <w:rPr>
          <w:rFonts w:asciiTheme="minorHAnsi" w:hAnsiTheme="minorHAnsi"/>
          <w:sz w:val="28"/>
          <w:szCs w:val="28"/>
          <w:lang w:val="en-US"/>
        </w:rPr>
        <w:t xml:space="preserve"> of patent holders</w:t>
      </w:r>
      <w:r w:rsidR="00C33D40" w:rsidRPr="00AF194C">
        <w:rPr>
          <w:rFonts w:asciiTheme="minorHAnsi" w:hAnsiTheme="minorHAnsi"/>
          <w:sz w:val="28"/>
          <w:szCs w:val="28"/>
          <w:lang w:val="en-US"/>
        </w:rPr>
        <w:t>.</w:t>
      </w:r>
    </w:p>
    <w:p w:rsidR="00B7340A" w:rsidRPr="00AF194C" w:rsidRDefault="00B7340A" w:rsidP="00A809A7">
      <w:pPr>
        <w:pStyle w:val="BodyText"/>
        <w:spacing w:after="0" w:line="240" w:lineRule="auto"/>
        <w:ind w:left="720"/>
        <w:rPr>
          <w:rFonts w:asciiTheme="minorHAnsi" w:hAnsiTheme="minorHAnsi"/>
          <w:sz w:val="28"/>
          <w:szCs w:val="28"/>
          <w:lang w:val="en-US"/>
        </w:rPr>
      </w:pPr>
    </w:p>
    <w:p w:rsidR="00B7340A" w:rsidRPr="00AF194C" w:rsidRDefault="00474CE3" w:rsidP="009C2603">
      <w:pPr>
        <w:pStyle w:val="BodyText"/>
        <w:spacing w:after="0" w:line="240" w:lineRule="auto"/>
        <w:rPr>
          <w:rFonts w:asciiTheme="minorHAnsi" w:hAnsiTheme="minorHAnsi"/>
          <w:sz w:val="28"/>
          <w:szCs w:val="28"/>
          <w:lang w:val="en-US"/>
        </w:rPr>
      </w:pPr>
      <w:r w:rsidRPr="00AF194C">
        <w:rPr>
          <w:rFonts w:asciiTheme="minorHAnsi" w:hAnsiTheme="minorHAnsi"/>
          <w:sz w:val="28"/>
          <w:szCs w:val="28"/>
          <w:lang w:val="en-US"/>
        </w:rPr>
        <w:t xml:space="preserve">Art. 135(2) </w:t>
      </w:r>
      <w:r w:rsidR="00376D0D" w:rsidRPr="00AF194C">
        <w:rPr>
          <w:rFonts w:asciiTheme="minorHAnsi" w:hAnsiTheme="minorHAnsi"/>
          <w:sz w:val="28"/>
          <w:szCs w:val="28"/>
          <w:lang w:val="en-US"/>
        </w:rPr>
        <w:t>suggest</w:t>
      </w:r>
      <w:r w:rsidR="004D10CE" w:rsidRPr="00AF194C">
        <w:rPr>
          <w:rFonts w:asciiTheme="minorHAnsi" w:hAnsiTheme="minorHAnsi"/>
          <w:sz w:val="28"/>
          <w:szCs w:val="28"/>
          <w:lang w:val="en-US"/>
        </w:rPr>
        <w:t>s</w:t>
      </w:r>
      <w:r w:rsidR="00376D0D" w:rsidRPr="00AF194C">
        <w:rPr>
          <w:rFonts w:asciiTheme="minorHAnsi" w:hAnsiTheme="minorHAnsi"/>
          <w:sz w:val="28"/>
          <w:szCs w:val="28"/>
          <w:lang w:val="en-US"/>
        </w:rPr>
        <w:t xml:space="preserve"> that for patent</w:t>
      </w:r>
      <w:r w:rsidR="009227A0" w:rsidRPr="00AF194C">
        <w:rPr>
          <w:rFonts w:asciiTheme="minorHAnsi" w:hAnsiTheme="minorHAnsi"/>
          <w:sz w:val="28"/>
          <w:szCs w:val="28"/>
          <w:lang w:val="en-US"/>
        </w:rPr>
        <w:t>s</w:t>
      </w:r>
      <w:r w:rsidR="00376D0D" w:rsidRPr="00AF194C">
        <w:rPr>
          <w:rFonts w:asciiTheme="minorHAnsi" w:hAnsiTheme="minorHAnsi"/>
          <w:sz w:val="28"/>
          <w:szCs w:val="28"/>
          <w:lang w:val="en-US"/>
        </w:rPr>
        <w:t xml:space="preserve"> that are </w:t>
      </w:r>
      <w:r w:rsidR="004D10CE" w:rsidRPr="00AF194C">
        <w:rPr>
          <w:rFonts w:asciiTheme="minorHAnsi" w:hAnsiTheme="minorHAnsi"/>
          <w:sz w:val="28"/>
          <w:szCs w:val="28"/>
          <w:lang w:val="en-US"/>
        </w:rPr>
        <w:t xml:space="preserve">important to public health, the government is mandated to "make an offer" for the invention.  Although </w:t>
      </w:r>
      <w:r w:rsidR="00F22400" w:rsidRPr="00AF194C">
        <w:rPr>
          <w:rFonts w:asciiTheme="minorHAnsi" w:hAnsiTheme="minorHAnsi"/>
          <w:sz w:val="28"/>
          <w:szCs w:val="28"/>
          <w:lang w:val="en-US"/>
        </w:rPr>
        <w:t>this provision suggests</w:t>
      </w:r>
      <w:r w:rsidR="004D10CE" w:rsidRPr="00AF194C">
        <w:rPr>
          <w:rFonts w:asciiTheme="minorHAnsi" w:hAnsiTheme="minorHAnsi"/>
          <w:sz w:val="28"/>
          <w:szCs w:val="28"/>
          <w:lang w:val="en-US"/>
        </w:rPr>
        <w:t xml:space="preserve"> that no compulsory license may be granted</w:t>
      </w:r>
      <w:r w:rsidR="00395120" w:rsidRPr="00AF194C">
        <w:rPr>
          <w:rFonts w:asciiTheme="minorHAnsi" w:hAnsiTheme="minorHAnsi"/>
          <w:sz w:val="28"/>
          <w:szCs w:val="28"/>
          <w:lang w:val="en-US"/>
        </w:rPr>
        <w:t>, but only an offer made</w:t>
      </w:r>
      <w:r w:rsidR="004D10CE" w:rsidRPr="00AF194C">
        <w:rPr>
          <w:rFonts w:asciiTheme="minorHAnsi" w:hAnsiTheme="minorHAnsi"/>
          <w:sz w:val="28"/>
          <w:szCs w:val="28"/>
          <w:lang w:val="en-US"/>
        </w:rPr>
        <w:t xml:space="preserve">, the provision </w:t>
      </w:r>
      <w:r w:rsidR="00F22400" w:rsidRPr="00AF194C">
        <w:rPr>
          <w:rFonts w:asciiTheme="minorHAnsi" w:hAnsiTheme="minorHAnsi"/>
          <w:sz w:val="28"/>
          <w:szCs w:val="28"/>
          <w:lang w:val="en-US"/>
        </w:rPr>
        <w:t xml:space="preserve">is part of the section on </w:t>
      </w:r>
      <w:r w:rsidR="004D10CE" w:rsidRPr="00AF194C">
        <w:rPr>
          <w:rFonts w:asciiTheme="minorHAnsi" w:hAnsiTheme="minorHAnsi"/>
          <w:sz w:val="28"/>
          <w:szCs w:val="28"/>
          <w:lang w:val="en-US"/>
        </w:rPr>
        <w:t>compulsory licensing</w:t>
      </w:r>
      <w:r w:rsidR="009227A0" w:rsidRPr="00AF194C">
        <w:rPr>
          <w:rFonts w:asciiTheme="minorHAnsi" w:hAnsiTheme="minorHAnsi"/>
          <w:sz w:val="28"/>
          <w:szCs w:val="28"/>
          <w:lang w:val="en-US"/>
        </w:rPr>
        <w:t>; this may create some ambiguity</w:t>
      </w:r>
      <w:r w:rsidR="004D10CE" w:rsidRPr="00AF194C">
        <w:rPr>
          <w:rFonts w:asciiTheme="minorHAnsi" w:hAnsiTheme="minorHAnsi"/>
          <w:sz w:val="28"/>
          <w:szCs w:val="28"/>
          <w:lang w:val="en-US"/>
        </w:rPr>
        <w:t xml:space="preserve">. </w:t>
      </w:r>
      <w:r w:rsidR="00395120" w:rsidRPr="00AF194C">
        <w:rPr>
          <w:rFonts w:asciiTheme="minorHAnsi" w:hAnsiTheme="minorHAnsi"/>
          <w:sz w:val="28"/>
          <w:szCs w:val="28"/>
          <w:lang w:val="en-US"/>
        </w:rPr>
        <w:t xml:space="preserve">Compulsory licensing for patents related to medicines should only be utilized as an extreme measure to address </w:t>
      </w:r>
      <w:r w:rsidR="00F22400" w:rsidRPr="00AF194C">
        <w:rPr>
          <w:rFonts w:asciiTheme="minorHAnsi" w:hAnsiTheme="minorHAnsi"/>
          <w:sz w:val="28"/>
          <w:szCs w:val="28"/>
          <w:lang w:val="en-US"/>
        </w:rPr>
        <w:t xml:space="preserve">matters of public </w:t>
      </w:r>
      <w:r w:rsidR="00395120" w:rsidRPr="00AF194C">
        <w:rPr>
          <w:rFonts w:asciiTheme="minorHAnsi" w:hAnsiTheme="minorHAnsi"/>
          <w:sz w:val="28"/>
          <w:szCs w:val="28"/>
          <w:lang w:val="en-US"/>
        </w:rPr>
        <w:t xml:space="preserve">health </w:t>
      </w:r>
      <w:r w:rsidR="00F22400" w:rsidRPr="00AF194C">
        <w:rPr>
          <w:rFonts w:asciiTheme="minorHAnsi" w:hAnsiTheme="minorHAnsi"/>
          <w:sz w:val="28"/>
          <w:szCs w:val="28"/>
          <w:lang w:val="en-US"/>
        </w:rPr>
        <w:t xml:space="preserve">urgencies or </w:t>
      </w:r>
      <w:r w:rsidR="00395120" w:rsidRPr="00AF194C">
        <w:rPr>
          <w:rFonts w:asciiTheme="minorHAnsi" w:hAnsiTheme="minorHAnsi"/>
          <w:sz w:val="28"/>
          <w:szCs w:val="28"/>
          <w:lang w:val="en-US"/>
        </w:rPr>
        <w:t>emergencies.</w:t>
      </w:r>
    </w:p>
    <w:p w:rsidR="00A809A7" w:rsidRPr="00AF194C" w:rsidRDefault="00A809A7" w:rsidP="00A809A7">
      <w:pPr>
        <w:pStyle w:val="BodyText"/>
        <w:spacing w:after="0" w:line="240" w:lineRule="auto"/>
        <w:ind w:left="720"/>
        <w:rPr>
          <w:rFonts w:asciiTheme="minorHAnsi" w:hAnsiTheme="minorHAnsi"/>
          <w:sz w:val="28"/>
          <w:szCs w:val="28"/>
          <w:lang w:val="en-US"/>
        </w:rPr>
      </w:pPr>
    </w:p>
    <w:p w:rsidR="000F46A4" w:rsidRDefault="000F46A4" w:rsidP="009C2603">
      <w:pPr>
        <w:pStyle w:val="BodyText"/>
        <w:spacing w:after="0" w:line="240" w:lineRule="auto"/>
        <w:rPr>
          <w:rFonts w:asciiTheme="minorHAnsi" w:hAnsiTheme="minorHAnsi"/>
          <w:sz w:val="28"/>
          <w:szCs w:val="28"/>
          <w:lang w:val="en-US"/>
        </w:rPr>
      </w:pPr>
      <w:r w:rsidRPr="00AF194C">
        <w:rPr>
          <w:rFonts w:asciiTheme="minorHAnsi" w:hAnsiTheme="minorHAnsi"/>
          <w:sz w:val="28"/>
          <w:szCs w:val="28"/>
          <w:lang w:val="en-US"/>
        </w:rPr>
        <w:t>Article 153</w:t>
      </w:r>
      <w:r w:rsidR="009227A0" w:rsidRPr="00AF194C">
        <w:rPr>
          <w:rFonts w:asciiTheme="minorHAnsi" w:hAnsiTheme="minorHAnsi"/>
          <w:sz w:val="28"/>
          <w:szCs w:val="28"/>
          <w:lang w:val="en-US"/>
        </w:rPr>
        <w:t>,</w:t>
      </w:r>
      <w:r w:rsidRPr="00AF194C">
        <w:rPr>
          <w:rFonts w:asciiTheme="minorHAnsi" w:hAnsiTheme="minorHAnsi"/>
          <w:sz w:val="28"/>
          <w:szCs w:val="28"/>
          <w:lang w:val="en-US"/>
        </w:rPr>
        <w:t xml:space="preserve"> which is directed to enforcement matters</w:t>
      </w:r>
      <w:r w:rsidR="009227A0" w:rsidRPr="00AF194C">
        <w:rPr>
          <w:rFonts w:asciiTheme="minorHAnsi" w:hAnsiTheme="minorHAnsi"/>
          <w:sz w:val="28"/>
          <w:szCs w:val="28"/>
          <w:lang w:val="en-US"/>
        </w:rPr>
        <w:t>,</w:t>
      </w:r>
      <w:r w:rsidRPr="00AF194C">
        <w:rPr>
          <w:rFonts w:asciiTheme="minorHAnsi" w:hAnsiTheme="minorHAnsi"/>
          <w:sz w:val="28"/>
          <w:szCs w:val="28"/>
          <w:lang w:val="en-US"/>
        </w:rPr>
        <w:t xml:space="preserve"> lacks provisions to enable </w:t>
      </w:r>
      <w:r w:rsidR="009227A0" w:rsidRPr="00AF194C">
        <w:rPr>
          <w:rFonts w:asciiTheme="minorHAnsi" w:hAnsiTheme="minorHAnsi"/>
          <w:sz w:val="28"/>
          <w:szCs w:val="28"/>
          <w:lang w:val="en-US"/>
        </w:rPr>
        <w:t xml:space="preserve">the </w:t>
      </w:r>
      <w:r w:rsidRPr="00AF194C">
        <w:rPr>
          <w:rFonts w:asciiTheme="minorHAnsi" w:hAnsiTheme="minorHAnsi"/>
          <w:sz w:val="28"/>
          <w:szCs w:val="28"/>
          <w:lang w:val="en-US"/>
        </w:rPr>
        <w:t>granting of preliminary injunctions in advance of a final ruling to protect the rights of a patent holder.</w:t>
      </w:r>
    </w:p>
    <w:p w:rsidR="00AF194C" w:rsidRDefault="00AF194C" w:rsidP="00A809A7">
      <w:pPr>
        <w:pStyle w:val="BodyText"/>
        <w:spacing w:after="0" w:line="240" w:lineRule="auto"/>
        <w:ind w:left="720"/>
        <w:rPr>
          <w:rFonts w:asciiTheme="minorHAnsi" w:hAnsiTheme="minorHAnsi"/>
          <w:sz w:val="28"/>
          <w:szCs w:val="28"/>
          <w:lang w:val="en-US"/>
        </w:rPr>
      </w:pPr>
    </w:p>
    <w:p w:rsidR="00F3419E" w:rsidRPr="00F3419E" w:rsidRDefault="00F3419E" w:rsidP="00F3419E">
      <w:pPr>
        <w:pStyle w:val="BodyText"/>
        <w:spacing w:after="0" w:line="240" w:lineRule="auto"/>
        <w:rPr>
          <w:b/>
          <w:sz w:val="28"/>
          <w:szCs w:val="28"/>
          <w:lang w:val="en-US"/>
        </w:rPr>
      </w:pPr>
      <w:r w:rsidRPr="00F3419E">
        <w:rPr>
          <w:b/>
          <w:sz w:val="28"/>
          <w:szCs w:val="28"/>
          <w:lang w:val="en-US"/>
        </w:rPr>
        <w:t>Regulatory test data for biopharmaceuticals</w:t>
      </w:r>
    </w:p>
    <w:p w:rsidR="008C02BE" w:rsidRPr="00F3419E" w:rsidRDefault="008C02BE" w:rsidP="00EE716D">
      <w:pPr>
        <w:pStyle w:val="BodyText"/>
        <w:spacing w:after="0" w:line="240" w:lineRule="auto"/>
        <w:ind w:left="720"/>
        <w:rPr>
          <w:sz w:val="28"/>
          <w:szCs w:val="28"/>
          <w:u w:val="single"/>
          <w:lang w:val="en-US"/>
        </w:rPr>
      </w:pPr>
    </w:p>
    <w:p w:rsidR="000C06D8" w:rsidRDefault="000C06D8" w:rsidP="008E329E">
      <w:pPr>
        <w:pStyle w:val="Default"/>
        <w:rPr>
          <w:rFonts w:asciiTheme="minorHAnsi" w:hAnsiTheme="minorHAnsi" w:cstheme="minorHAnsi"/>
          <w:iCs/>
          <w:color w:val="auto"/>
          <w:sz w:val="28"/>
          <w:szCs w:val="28"/>
        </w:rPr>
      </w:pPr>
      <w:r w:rsidRPr="00F3419E">
        <w:rPr>
          <w:rFonts w:asciiTheme="minorHAnsi" w:hAnsiTheme="minorHAnsi"/>
          <w:sz w:val="28"/>
          <w:szCs w:val="28"/>
          <w:lang w:val="en-US"/>
        </w:rPr>
        <w:t>In addition to the IP issues outlined above, Turkey should also take steps to improve protection of regulatory test data</w:t>
      </w:r>
      <w:r w:rsidR="00E018D8" w:rsidRPr="00F3419E">
        <w:rPr>
          <w:rFonts w:asciiTheme="minorHAnsi" w:hAnsiTheme="minorHAnsi"/>
          <w:sz w:val="28"/>
          <w:szCs w:val="28"/>
          <w:lang w:val="en-US"/>
        </w:rPr>
        <w:t xml:space="preserve"> for biopharmaceuticals</w:t>
      </w:r>
      <w:r w:rsidRPr="00F3419E">
        <w:rPr>
          <w:rFonts w:asciiTheme="minorHAnsi" w:hAnsiTheme="minorHAnsi"/>
          <w:sz w:val="28"/>
          <w:szCs w:val="28"/>
          <w:lang w:val="en-US"/>
        </w:rPr>
        <w:t>.  For example, Turkey does not provide an effective mechanism for resolving patent disputes before the marketing of follow-on products. Further, Turkey inappropriately ties the regulatory data protection period (RDP) to the patent term</w:t>
      </w:r>
      <w:r w:rsidR="00C40D79" w:rsidRPr="00F3419E">
        <w:rPr>
          <w:rFonts w:asciiTheme="minorHAnsi" w:hAnsiTheme="minorHAnsi"/>
          <w:sz w:val="28"/>
          <w:szCs w:val="28"/>
          <w:lang w:val="en-US"/>
        </w:rPr>
        <w:t>,</w:t>
      </w:r>
      <w:r w:rsidRPr="00F3419E">
        <w:rPr>
          <w:rFonts w:asciiTheme="minorHAnsi" w:hAnsiTheme="minorHAnsi"/>
          <w:sz w:val="28"/>
          <w:szCs w:val="28"/>
          <w:lang w:val="en-US"/>
        </w:rPr>
        <w:t xml:space="preserve"> and the lack of RDP for combination products is still an unresolved issue. Finally, the combination of an RDP term that starts with first marketing authorization in the European Union and regulatory approvals delays results in a severe restriction on the actual period of RDP provided. Consistent with Turkey’s international obligations, the RDP term should begin when a product receives marketing authorization in </w:t>
      </w:r>
      <w:r w:rsidRPr="00F3419E">
        <w:rPr>
          <w:rFonts w:asciiTheme="minorHAnsi" w:hAnsiTheme="minorHAnsi" w:cstheme="minorHAnsi"/>
          <w:color w:val="auto"/>
          <w:sz w:val="28"/>
          <w:szCs w:val="28"/>
          <w:lang w:val="en-US"/>
        </w:rPr>
        <w:t>Turkey</w:t>
      </w:r>
      <w:r w:rsidR="009227A0" w:rsidRPr="00F3419E">
        <w:rPr>
          <w:rFonts w:asciiTheme="minorHAnsi" w:hAnsiTheme="minorHAnsi" w:cstheme="minorHAnsi"/>
          <w:color w:val="auto"/>
          <w:sz w:val="28"/>
          <w:szCs w:val="28"/>
          <w:lang w:val="en-US"/>
        </w:rPr>
        <w:t xml:space="preserve">. </w:t>
      </w:r>
      <w:r w:rsidR="00E277E1" w:rsidRPr="00B91BC7">
        <w:rPr>
          <w:rFonts w:asciiTheme="minorHAnsi" w:hAnsiTheme="minorHAnsi" w:cstheme="minorHAnsi"/>
          <w:iCs/>
          <w:color w:val="auto"/>
          <w:sz w:val="28"/>
          <w:szCs w:val="28"/>
        </w:rPr>
        <w:t>Turkey should clarify in its laws that RDP applies to all medicines, including biologics</w:t>
      </w:r>
      <w:r w:rsidR="009227A0" w:rsidRPr="00B91BC7">
        <w:rPr>
          <w:rFonts w:asciiTheme="minorHAnsi" w:hAnsiTheme="minorHAnsi" w:cstheme="minorHAnsi"/>
          <w:iCs/>
          <w:color w:val="auto"/>
          <w:sz w:val="28"/>
          <w:szCs w:val="28"/>
        </w:rPr>
        <w:t>.</w:t>
      </w:r>
    </w:p>
    <w:p w:rsidR="008E329E" w:rsidRDefault="008E329E" w:rsidP="008E329E">
      <w:pPr>
        <w:pStyle w:val="BodyText"/>
        <w:spacing w:after="0" w:line="240" w:lineRule="auto"/>
        <w:rPr>
          <w:sz w:val="28"/>
          <w:szCs w:val="28"/>
        </w:rPr>
      </w:pPr>
      <w:bookmarkStart w:id="0" w:name="_GoBack"/>
      <w:bookmarkEnd w:id="0"/>
    </w:p>
    <w:p w:rsidR="008E329E" w:rsidRPr="008E329E" w:rsidRDefault="008E329E" w:rsidP="008E329E">
      <w:pPr>
        <w:pStyle w:val="BodyText"/>
        <w:spacing w:after="0" w:line="240" w:lineRule="auto"/>
        <w:rPr>
          <w:b/>
          <w:i/>
          <w:sz w:val="28"/>
          <w:szCs w:val="28"/>
        </w:rPr>
      </w:pPr>
      <w:r w:rsidRPr="008E329E">
        <w:rPr>
          <w:b/>
          <w:sz w:val="28"/>
          <w:szCs w:val="28"/>
        </w:rPr>
        <w:t>Notice and Takedown Procedures for Copyright Infringement</w:t>
      </w:r>
    </w:p>
    <w:p w:rsidR="00C40D79" w:rsidRPr="008E329E" w:rsidRDefault="00C40D79" w:rsidP="00EE716D">
      <w:pPr>
        <w:pStyle w:val="BodyText"/>
        <w:spacing w:after="0" w:line="240" w:lineRule="auto"/>
        <w:ind w:left="720"/>
        <w:rPr>
          <w:sz w:val="28"/>
          <w:szCs w:val="28"/>
          <w:lang w:val="en-US"/>
        </w:rPr>
      </w:pPr>
    </w:p>
    <w:p w:rsidR="006D298A" w:rsidRDefault="00A47E70" w:rsidP="008E329E">
      <w:pPr>
        <w:pStyle w:val="BodyText"/>
        <w:spacing w:after="0" w:line="240" w:lineRule="auto"/>
        <w:rPr>
          <w:sz w:val="28"/>
          <w:szCs w:val="28"/>
          <w:lang w:val="en-US"/>
        </w:rPr>
      </w:pPr>
      <w:r w:rsidRPr="00F3419E">
        <w:rPr>
          <w:sz w:val="28"/>
          <w:szCs w:val="28"/>
          <w:lang w:val="en-US"/>
        </w:rPr>
        <w:t>The n</w:t>
      </w:r>
      <w:r w:rsidR="003D2CC9" w:rsidRPr="00F3419E">
        <w:rPr>
          <w:sz w:val="28"/>
          <w:szCs w:val="28"/>
          <w:lang w:val="en-US"/>
        </w:rPr>
        <w:t xml:space="preserve">otice and takedown procedure for copyright infringement </w:t>
      </w:r>
      <w:r w:rsidR="00AF47AE" w:rsidRPr="00F3419E">
        <w:rPr>
          <w:sz w:val="28"/>
          <w:szCs w:val="28"/>
          <w:lang w:val="en-US"/>
        </w:rPr>
        <w:t xml:space="preserve">on the internet </w:t>
      </w:r>
      <w:r w:rsidR="003D2CC9" w:rsidRPr="00F3419E">
        <w:rPr>
          <w:sz w:val="28"/>
          <w:szCs w:val="28"/>
          <w:lang w:val="en-US"/>
        </w:rPr>
        <w:t xml:space="preserve">is </w:t>
      </w:r>
      <w:r w:rsidRPr="00F3419E">
        <w:rPr>
          <w:sz w:val="28"/>
          <w:szCs w:val="28"/>
          <w:lang w:val="en-US"/>
        </w:rPr>
        <w:t>vague</w:t>
      </w:r>
      <w:r w:rsidR="00AF47AE" w:rsidRPr="00F3419E">
        <w:rPr>
          <w:sz w:val="28"/>
          <w:szCs w:val="28"/>
          <w:lang w:val="en-US"/>
        </w:rPr>
        <w:t xml:space="preserve"> and</w:t>
      </w:r>
      <w:r w:rsidRPr="00F3419E">
        <w:rPr>
          <w:sz w:val="28"/>
          <w:szCs w:val="28"/>
          <w:lang w:val="en-US"/>
        </w:rPr>
        <w:t>, in practice,</w:t>
      </w:r>
      <w:r w:rsidR="00AF47AE" w:rsidRPr="00F3419E">
        <w:rPr>
          <w:sz w:val="28"/>
          <w:szCs w:val="28"/>
          <w:lang w:val="en-US"/>
        </w:rPr>
        <w:t xml:space="preserve"> not applied </w:t>
      </w:r>
      <w:r w:rsidRPr="00F3419E">
        <w:rPr>
          <w:sz w:val="28"/>
          <w:szCs w:val="28"/>
          <w:lang w:val="en-US"/>
        </w:rPr>
        <w:t>consistently</w:t>
      </w:r>
      <w:r w:rsidR="003D2CC9" w:rsidRPr="00F3419E">
        <w:rPr>
          <w:sz w:val="28"/>
          <w:szCs w:val="28"/>
          <w:lang w:val="en-US"/>
        </w:rPr>
        <w:t xml:space="preserve">. Although the Law on </w:t>
      </w:r>
      <w:r w:rsidR="00AF47AE" w:rsidRPr="00F3419E">
        <w:rPr>
          <w:sz w:val="28"/>
          <w:szCs w:val="28"/>
          <w:lang w:val="en-US"/>
        </w:rPr>
        <w:t xml:space="preserve">Intellectual and Artistic Works </w:t>
      </w:r>
      <w:r w:rsidR="00AE5D7D" w:rsidRPr="00F3419E">
        <w:rPr>
          <w:sz w:val="28"/>
          <w:szCs w:val="28"/>
          <w:lang w:val="en-US"/>
        </w:rPr>
        <w:t xml:space="preserve">specifies the </w:t>
      </w:r>
      <w:r w:rsidR="00AF47AE" w:rsidRPr="00F3419E">
        <w:rPr>
          <w:sz w:val="28"/>
          <w:szCs w:val="28"/>
          <w:lang w:val="en-US"/>
        </w:rPr>
        <w:t>procedur</w:t>
      </w:r>
      <w:r w:rsidR="00AE5D7D" w:rsidRPr="00F3419E">
        <w:rPr>
          <w:sz w:val="28"/>
          <w:szCs w:val="28"/>
          <w:lang w:val="en-US"/>
        </w:rPr>
        <w:t>e</w:t>
      </w:r>
      <w:r w:rsidR="00AF47AE" w:rsidRPr="00F3419E">
        <w:rPr>
          <w:sz w:val="28"/>
          <w:szCs w:val="28"/>
          <w:lang w:val="en-US"/>
        </w:rPr>
        <w:t xml:space="preserve"> for notice and takedown </w:t>
      </w:r>
      <w:r w:rsidR="00AE5D7D" w:rsidRPr="00F3419E">
        <w:rPr>
          <w:sz w:val="28"/>
          <w:szCs w:val="28"/>
          <w:lang w:val="en-US"/>
        </w:rPr>
        <w:t xml:space="preserve">for </w:t>
      </w:r>
      <w:r w:rsidR="00AF47AE" w:rsidRPr="00F3419E">
        <w:rPr>
          <w:sz w:val="28"/>
          <w:szCs w:val="28"/>
          <w:lang w:val="en-US"/>
        </w:rPr>
        <w:t xml:space="preserve">online copyright infringement, intellectual property courts are </w:t>
      </w:r>
      <w:r w:rsidR="00AE5D7D" w:rsidRPr="00F3419E">
        <w:rPr>
          <w:sz w:val="28"/>
          <w:szCs w:val="28"/>
          <w:lang w:val="en-US"/>
        </w:rPr>
        <w:t>often un</w:t>
      </w:r>
      <w:r w:rsidR="00AF47AE" w:rsidRPr="00F3419E">
        <w:rPr>
          <w:sz w:val="28"/>
          <w:szCs w:val="28"/>
          <w:lang w:val="en-US"/>
        </w:rPr>
        <w:t xml:space="preserve">familiar with these rules. Additionally, despite detailed rules </w:t>
      </w:r>
      <w:r w:rsidR="00AE5D7D" w:rsidRPr="00F3419E">
        <w:rPr>
          <w:sz w:val="28"/>
          <w:szCs w:val="28"/>
          <w:lang w:val="en-US"/>
        </w:rPr>
        <w:t>in</w:t>
      </w:r>
      <w:r w:rsidR="00AF47AE" w:rsidRPr="00F3419E">
        <w:rPr>
          <w:sz w:val="28"/>
          <w:szCs w:val="28"/>
          <w:lang w:val="en-US"/>
        </w:rPr>
        <w:t xml:space="preserve"> the Internet Law </w:t>
      </w:r>
      <w:r w:rsidR="00AE5D7D" w:rsidRPr="00F3419E">
        <w:rPr>
          <w:sz w:val="28"/>
          <w:szCs w:val="28"/>
          <w:lang w:val="en-US"/>
        </w:rPr>
        <w:t xml:space="preserve">on </w:t>
      </w:r>
      <w:r w:rsidR="00AF47AE" w:rsidRPr="00F3419E">
        <w:rPr>
          <w:sz w:val="28"/>
          <w:szCs w:val="28"/>
          <w:lang w:val="en-US"/>
        </w:rPr>
        <w:t xml:space="preserve">notice and </w:t>
      </w:r>
      <w:r w:rsidR="00AF47AE" w:rsidRPr="00F3419E">
        <w:rPr>
          <w:sz w:val="28"/>
          <w:szCs w:val="28"/>
          <w:lang w:val="en-US"/>
        </w:rPr>
        <w:lastRenderedPageBreak/>
        <w:t xml:space="preserve">takedown, judges </w:t>
      </w:r>
      <w:r w:rsidR="00AE5D7D" w:rsidRPr="00F3419E">
        <w:rPr>
          <w:sz w:val="28"/>
          <w:szCs w:val="28"/>
          <w:lang w:val="en-US"/>
        </w:rPr>
        <w:t xml:space="preserve">do not uniformly consider </w:t>
      </w:r>
      <w:r w:rsidR="00941F72" w:rsidRPr="00F3419E">
        <w:rPr>
          <w:sz w:val="28"/>
          <w:szCs w:val="28"/>
          <w:lang w:val="en-US"/>
        </w:rPr>
        <w:t xml:space="preserve">infringement of </w:t>
      </w:r>
      <w:r w:rsidR="00AF47AE" w:rsidRPr="00F3419E">
        <w:rPr>
          <w:sz w:val="28"/>
          <w:szCs w:val="28"/>
          <w:lang w:val="en-US"/>
        </w:rPr>
        <w:t xml:space="preserve">intellectual property </w:t>
      </w:r>
      <w:r w:rsidR="00AE5D7D" w:rsidRPr="00F3419E">
        <w:rPr>
          <w:sz w:val="28"/>
          <w:szCs w:val="28"/>
          <w:lang w:val="en-US"/>
        </w:rPr>
        <w:t>rights to be a</w:t>
      </w:r>
      <w:r w:rsidR="00941F72" w:rsidRPr="00F3419E">
        <w:rPr>
          <w:sz w:val="28"/>
          <w:szCs w:val="28"/>
          <w:lang w:val="en-US"/>
        </w:rPr>
        <w:t xml:space="preserve"> violation </w:t>
      </w:r>
      <w:r w:rsidR="00AF47AE" w:rsidRPr="00F3419E">
        <w:rPr>
          <w:sz w:val="28"/>
          <w:szCs w:val="28"/>
          <w:lang w:val="en-US"/>
        </w:rPr>
        <w:t>of personal rights</w:t>
      </w:r>
      <w:r w:rsidR="00A300DB" w:rsidRPr="00F3419E">
        <w:rPr>
          <w:sz w:val="28"/>
          <w:szCs w:val="28"/>
          <w:lang w:val="en-US"/>
        </w:rPr>
        <w:t xml:space="preserve"> and</w:t>
      </w:r>
      <w:r w:rsidR="00AF47AE" w:rsidRPr="00F3419E">
        <w:rPr>
          <w:sz w:val="28"/>
          <w:szCs w:val="28"/>
          <w:lang w:val="en-US"/>
        </w:rPr>
        <w:t xml:space="preserve">, </w:t>
      </w:r>
      <w:r w:rsidR="00A300DB" w:rsidRPr="00F3419E">
        <w:rPr>
          <w:sz w:val="28"/>
          <w:szCs w:val="28"/>
          <w:lang w:val="en-US"/>
        </w:rPr>
        <w:t xml:space="preserve">as a result, the rules are often not </w:t>
      </w:r>
      <w:r w:rsidR="00AF47AE" w:rsidRPr="00F3419E">
        <w:rPr>
          <w:sz w:val="28"/>
          <w:szCs w:val="28"/>
          <w:lang w:val="en-US"/>
        </w:rPr>
        <w:t>applied.</w:t>
      </w:r>
      <w:r w:rsidR="004709EB" w:rsidRPr="00F3419E">
        <w:rPr>
          <w:sz w:val="28"/>
          <w:szCs w:val="28"/>
          <w:lang w:val="en-US"/>
        </w:rPr>
        <w:tab/>
      </w:r>
    </w:p>
    <w:p w:rsidR="008E329E" w:rsidRDefault="008E329E" w:rsidP="008E329E">
      <w:pPr>
        <w:pStyle w:val="BodyText"/>
        <w:spacing w:after="0" w:line="240" w:lineRule="auto"/>
        <w:rPr>
          <w:sz w:val="28"/>
          <w:szCs w:val="28"/>
          <w:lang w:val="en-US"/>
        </w:rPr>
      </w:pPr>
    </w:p>
    <w:p w:rsidR="003C01CE" w:rsidRDefault="008E329E" w:rsidP="003C01CE">
      <w:pPr>
        <w:pStyle w:val="BodyText"/>
        <w:keepNext/>
        <w:keepLines/>
        <w:spacing w:after="0" w:line="240" w:lineRule="auto"/>
        <w:rPr>
          <w:b/>
          <w:sz w:val="28"/>
          <w:szCs w:val="28"/>
          <w:lang w:val="en-US"/>
        </w:rPr>
      </w:pPr>
      <w:r w:rsidRPr="003C01CE">
        <w:rPr>
          <w:b/>
          <w:sz w:val="28"/>
          <w:szCs w:val="28"/>
          <w:lang w:val="en-US"/>
        </w:rPr>
        <w:t xml:space="preserve">Implementing Regulations for </w:t>
      </w:r>
      <w:r w:rsidR="003C01CE" w:rsidRPr="003C01CE">
        <w:rPr>
          <w:b/>
          <w:sz w:val="28"/>
          <w:szCs w:val="28"/>
          <w:lang w:val="en-US"/>
        </w:rPr>
        <w:t>New Data Protection Law</w:t>
      </w:r>
    </w:p>
    <w:p w:rsidR="003C01CE" w:rsidRDefault="003C01CE" w:rsidP="003C01CE">
      <w:pPr>
        <w:pStyle w:val="BodyText"/>
        <w:keepNext/>
        <w:keepLines/>
        <w:spacing w:after="0" w:line="240" w:lineRule="auto"/>
        <w:rPr>
          <w:sz w:val="28"/>
          <w:szCs w:val="28"/>
          <w:lang w:val="en-US"/>
        </w:rPr>
      </w:pPr>
    </w:p>
    <w:p w:rsidR="00692327" w:rsidRDefault="003C01CE" w:rsidP="003C01CE">
      <w:pPr>
        <w:pStyle w:val="BodyText"/>
        <w:keepNext/>
        <w:keepLines/>
        <w:spacing w:after="0" w:line="240" w:lineRule="auto"/>
        <w:rPr>
          <w:sz w:val="28"/>
          <w:szCs w:val="28"/>
          <w:lang w:val="en-US"/>
        </w:rPr>
      </w:pPr>
      <w:r>
        <w:rPr>
          <w:sz w:val="28"/>
          <w:szCs w:val="28"/>
          <w:lang w:val="en-US"/>
        </w:rPr>
        <w:t>T</w:t>
      </w:r>
      <w:r w:rsidR="00692327" w:rsidRPr="00F3419E">
        <w:rPr>
          <w:sz w:val="28"/>
          <w:szCs w:val="28"/>
          <w:lang w:val="en-US"/>
        </w:rPr>
        <w:t xml:space="preserve">urkey </w:t>
      </w:r>
      <w:r w:rsidR="00A300DB" w:rsidRPr="00F3419E">
        <w:rPr>
          <w:sz w:val="28"/>
          <w:szCs w:val="28"/>
          <w:lang w:val="en-US"/>
        </w:rPr>
        <w:t xml:space="preserve">enacted its </w:t>
      </w:r>
      <w:r w:rsidR="004B75D8" w:rsidRPr="00F3419E">
        <w:rPr>
          <w:sz w:val="28"/>
          <w:szCs w:val="28"/>
          <w:lang w:val="en-US"/>
        </w:rPr>
        <w:t xml:space="preserve">comprehensive </w:t>
      </w:r>
      <w:r w:rsidR="006D298A" w:rsidRPr="00F3419E">
        <w:rPr>
          <w:sz w:val="28"/>
          <w:szCs w:val="28"/>
          <w:lang w:val="en-US"/>
        </w:rPr>
        <w:t>Data Protection Law on April 7, 2016.</w:t>
      </w:r>
      <w:r w:rsidR="00692327" w:rsidRPr="00F3419E">
        <w:rPr>
          <w:sz w:val="28"/>
          <w:szCs w:val="28"/>
          <w:lang w:val="en-US"/>
        </w:rPr>
        <w:t xml:space="preserve">  </w:t>
      </w:r>
      <w:r w:rsidR="004B75D8" w:rsidRPr="00F3419E">
        <w:rPr>
          <w:sz w:val="28"/>
          <w:szCs w:val="28"/>
          <w:lang w:val="en-US"/>
        </w:rPr>
        <w:t>S</w:t>
      </w:r>
      <w:r w:rsidR="006D298A" w:rsidRPr="00F3419E">
        <w:rPr>
          <w:sz w:val="28"/>
          <w:szCs w:val="28"/>
          <w:lang w:val="en-US"/>
        </w:rPr>
        <w:t xml:space="preserve">econdary </w:t>
      </w:r>
      <w:r w:rsidR="004B75D8" w:rsidRPr="00F3419E">
        <w:rPr>
          <w:sz w:val="28"/>
          <w:szCs w:val="28"/>
          <w:lang w:val="en-US"/>
        </w:rPr>
        <w:t xml:space="preserve">implementing </w:t>
      </w:r>
      <w:r w:rsidR="006D298A" w:rsidRPr="00F3419E">
        <w:rPr>
          <w:sz w:val="28"/>
          <w:szCs w:val="28"/>
          <w:lang w:val="en-US"/>
        </w:rPr>
        <w:t xml:space="preserve">regulations are expected to be issued </w:t>
      </w:r>
      <w:r w:rsidR="004B75D8" w:rsidRPr="00F3419E">
        <w:rPr>
          <w:sz w:val="28"/>
          <w:szCs w:val="28"/>
          <w:lang w:val="en-US"/>
        </w:rPr>
        <w:t xml:space="preserve">by </w:t>
      </w:r>
      <w:r w:rsidR="006D298A" w:rsidRPr="00F3419E">
        <w:rPr>
          <w:sz w:val="28"/>
          <w:szCs w:val="28"/>
          <w:lang w:val="en-US"/>
        </w:rPr>
        <w:t>April 7, 2017</w:t>
      </w:r>
      <w:r w:rsidR="004B75D8" w:rsidRPr="00F3419E">
        <w:rPr>
          <w:sz w:val="28"/>
          <w:szCs w:val="28"/>
          <w:lang w:val="en-US"/>
        </w:rPr>
        <w:t xml:space="preserve">, and </w:t>
      </w:r>
      <w:r w:rsidR="009B0C9F" w:rsidRPr="00F3419E">
        <w:rPr>
          <w:sz w:val="28"/>
          <w:szCs w:val="28"/>
          <w:lang w:val="en-US"/>
        </w:rPr>
        <w:t xml:space="preserve">the Data Protection Authority established </w:t>
      </w:r>
      <w:r w:rsidR="004B75D8" w:rsidRPr="00F3419E">
        <w:rPr>
          <w:sz w:val="28"/>
          <w:szCs w:val="28"/>
          <w:lang w:val="en-US"/>
        </w:rPr>
        <w:t xml:space="preserve">by </w:t>
      </w:r>
      <w:r w:rsidR="009B0C9F" w:rsidRPr="00F3419E">
        <w:rPr>
          <w:sz w:val="28"/>
          <w:szCs w:val="28"/>
          <w:lang w:val="en-US"/>
        </w:rPr>
        <w:t>October 7, 2016.</w:t>
      </w:r>
    </w:p>
    <w:p w:rsidR="003C01CE" w:rsidRDefault="003C01CE" w:rsidP="003C01CE">
      <w:pPr>
        <w:pStyle w:val="BodyText"/>
        <w:keepNext/>
        <w:keepLines/>
        <w:spacing w:after="0" w:line="240" w:lineRule="auto"/>
        <w:rPr>
          <w:sz w:val="28"/>
          <w:szCs w:val="28"/>
          <w:lang w:val="en-US"/>
        </w:rPr>
      </w:pPr>
    </w:p>
    <w:p w:rsidR="003C01CE" w:rsidRPr="003C01CE" w:rsidRDefault="003C01CE" w:rsidP="003C01CE">
      <w:pPr>
        <w:pStyle w:val="BodyText"/>
        <w:keepNext/>
        <w:keepLines/>
        <w:spacing w:after="0" w:line="240" w:lineRule="auto"/>
        <w:rPr>
          <w:b/>
          <w:sz w:val="28"/>
          <w:szCs w:val="28"/>
          <w:lang w:val="en-US"/>
        </w:rPr>
      </w:pPr>
      <w:r w:rsidRPr="003C01CE">
        <w:rPr>
          <w:b/>
          <w:sz w:val="28"/>
          <w:szCs w:val="28"/>
          <w:u w:val="single"/>
          <w:lang w:val="en-US"/>
        </w:rPr>
        <w:t>Recommendation</w:t>
      </w:r>
      <w:r>
        <w:rPr>
          <w:sz w:val="28"/>
          <w:szCs w:val="28"/>
          <w:lang w:val="en-US"/>
        </w:rPr>
        <w:t>:</w:t>
      </w:r>
    </w:p>
    <w:p w:rsidR="00C40D79" w:rsidRPr="00F3419E" w:rsidRDefault="00C40D79" w:rsidP="00EE716D">
      <w:pPr>
        <w:pStyle w:val="BodyText"/>
        <w:spacing w:after="0" w:line="240" w:lineRule="auto"/>
        <w:ind w:left="720"/>
        <w:rPr>
          <w:sz w:val="28"/>
          <w:szCs w:val="28"/>
          <w:lang w:val="en-US"/>
        </w:rPr>
      </w:pPr>
    </w:p>
    <w:p w:rsidR="00692327" w:rsidRDefault="003C01CE" w:rsidP="003C01CE">
      <w:pPr>
        <w:pStyle w:val="BodyText"/>
        <w:spacing w:after="0" w:line="240" w:lineRule="auto"/>
        <w:rPr>
          <w:sz w:val="28"/>
          <w:szCs w:val="28"/>
          <w:lang w:val="en-US"/>
        </w:rPr>
      </w:pPr>
      <w:r>
        <w:rPr>
          <w:sz w:val="28"/>
          <w:szCs w:val="28"/>
          <w:lang w:val="en-US"/>
        </w:rPr>
        <w:t xml:space="preserve">The Council </w:t>
      </w:r>
      <w:r w:rsidRPr="003C01CE">
        <w:rPr>
          <w:sz w:val="28"/>
          <w:szCs w:val="28"/>
          <w:lang w:val="en-US"/>
        </w:rPr>
        <w:t xml:space="preserve">recommends </w:t>
      </w:r>
      <w:r w:rsidR="00692327" w:rsidRPr="003C01CE">
        <w:rPr>
          <w:sz w:val="28"/>
          <w:szCs w:val="28"/>
          <w:lang w:val="en-US"/>
        </w:rPr>
        <w:t xml:space="preserve">that the Turkish government </w:t>
      </w:r>
      <w:r w:rsidR="006D298A" w:rsidRPr="003C01CE">
        <w:rPr>
          <w:sz w:val="28"/>
          <w:szCs w:val="28"/>
          <w:lang w:val="en-US"/>
        </w:rPr>
        <w:t xml:space="preserve">obtain </w:t>
      </w:r>
      <w:r w:rsidR="004B75D8" w:rsidRPr="003C01CE">
        <w:rPr>
          <w:sz w:val="28"/>
          <w:szCs w:val="28"/>
          <w:lang w:val="en-US"/>
        </w:rPr>
        <w:t xml:space="preserve">input from leading players in multiple </w:t>
      </w:r>
      <w:r w:rsidR="006D298A" w:rsidRPr="003C01CE">
        <w:rPr>
          <w:sz w:val="28"/>
          <w:szCs w:val="28"/>
          <w:lang w:val="en-US"/>
        </w:rPr>
        <w:t>sectors, public institutions</w:t>
      </w:r>
      <w:r w:rsidR="001F2C0C" w:rsidRPr="003C01CE">
        <w:rPr>
          <w:sz w:val="28"/>
          <w:szCs w:val="28"/>
          <w:lang w:val="en-US"/>
        </w:rPr>
        <w:t xml:space="preserve"> and </w:t>
      </w:r>
      <w:r w:rsidR="006D298A" w:rsidRPr="003C01CE">
        <w:rPr>
          <w:sz w:val="28"/>
          <w:szCs w:val="28"/>
          <w:lang w:val="en-US"/>
        </w:rPr>
        <w:t xml:space="preserve">academics </w:t>
      </w:r>
      <w:r w:rsidR="001F2C0C" w:rsidRPr="003C01CE">
        <w:rPr>
          <w:sz w:val="28"/>
          <w:szCs w:val="28"/>
          <w:lang w:val="en-US"/>
        </w:rPr>
        <w:t xml:space="preserve">during </w:t>
      </w:r>
      <w:r w:rsidR="006D298A" w:rsidRPr="003C01CE">
        <w:rPr>
          <w:sz w:val="28"/>
          <w:szCs w:val="28"/>
          <w:lang w:val="en-US"/>
        </w:rPr>
        <w:t xml:space="preserve">the </w:t>
      </w:r>
      <w:r w:rsidR="001F2C0C" w:rsidRPr="003C01CE">
        <w:rPr>
          <w:sz w:val="28"/>
          <w:szCs w:val="28"/>
          <w:lang w:val="en-US"/>
        </w:rPr>
        <w:t xml:space="preserve">regulation </w:t>
      </w:r>
      <w:r w:rsidR="006D298A" w:rsidRPr="003C01CE">
        <w:rPr>
          <w:sz w:val="28"/>
          <w:szCs w:val="28"/>
          <w:lang w:val="en-US"/>
        </w:rPr>
        <w:t>drafting process.</w:t>
      </w:r>
      <w:r w:rsidR="009B0C9F" w:rsidRPr="003C01CE">
        <w:rPr>
          <w:sz w:val="28"/>
          <w:szCs w:val="28"/>
          <w:lang w:val="en-US"/>
        </w:rPr>
        <w:t xml:space="preserve"> We also recommend that the Turkish government take steps to ensure that the Data Protection Authority is formed as an independent</w:t>
      </w:r>
      <w:r w:rsidR="001F2C0C" w:rsidRPr="003C01CE">
        <w:rPr>
          <w:sz w:val="28"/>
          <w:szCs w:val="28"/>
          <w:lang w:val="en-US"/>
        </w:rPr>
        <w:t>, autonomous</w:t>
      </w:r>
      <w:r w:rsidR="009B0C9F" w:rsidRPr="003C01CE">
        <w:rPr>
          <w:sz w:val="28"/>
          <w:szCs w:val="28"/>
          <w:lang w:val="en-US"/>
        </w:rPr>
        <w:t xml:space="preserve"> authority.</w:t>
      </w:r>
    </w:p>
    <w:p w:rsidR="003C01CE" w:rsidRDefault="003C01CE" w:rsidP="003C01CE">
      <w:pPr>
        <w:pStyle w:val="BodyText"/>
        <w:spacing w:after="0" w:line="240" w:lineRule="auto"/>
        <w:rPr>
          <w:sz w:val="28"/>
          <w:szCs w:val="28"/>
          <w:lang w:val="en-US"/>
        </w:rPr>
      </w:pPr>
    </w:p>
    <w:p w:rsidR="003C01CE" w:rsidRPr="003C01CE" w:rsidRDefault="003C01CE" w:rsidP="003C01CE">
      <w:pPr>
        <w:pStyle w:val="BodyText"/>
        <w:spacing w:after="0" w:line="240" w:lineRule="auto"/>
        <w:rPr>
          <w:b/>
          <w:sz w:val="28"/>
          <w:szCs w:val="28"/>
          <w:lang w:val="en-US"/>
        </w:rPr>
      </w:pPr>
      <w:r w:rsidRPr="003C01CE">
        <w:rPr>
          <w:b/>
          <w:sz w:val="28"/>
          <w:szCs w:val="28"/>
          <w:lang w:val="en-US"/>
        </w:rPr>
        <w:t>e-Commerce Law and Regulations</w:t>
      </w:r>
    </w:p>
    <w:p w:rsidR="00C40D79" w:rsidRPr="00F3419E" w:rsidRDefault="00C40D79" w:rsidP="00EE716D">
      <w:pPr>
        <w:pStyle w:val="BodyText"/>
        <w:spacing w:after="0" w:line="240" w:lineRule="auto"/>
        <w:ind w:left="720"/>
        <w:rPr>
          <w:sz w:val="28"/>
          <w:szCs w:val="28"/>
          <w:lang w:val="en-US"/>
        </w:rPr>
      </w:pPr>
    </w:p>
    <w:p w:rsidR="009C2FA3" w:rsidRDefault="009C2FA3" w:rsidP="003C01CE">
      <w:pPr>
        <w:pStyle w:val="BodyText"/>
        <w:spacing w:after="0" w:line="240" w:lineRule="auto"/>
        <w:rPr>
          <w:sz w:val="28"/>
          <w:szCs w:val="28"/>
          <w:lang w:val="en-US"/>
        </w:rPr>
      </w:pPr>
      <w:r w:rsidRPr="00F3419E">
        <w:rPr>
          <w:sz w:val="28"/>
          <w:szCs w:val="28"/>
          <w:lang w:val="en-US"/>
        </w:rPr>
        <w:t xml:space="preserve">Turkey </w:t>
      </w:r>
      <w:r w:rsidR="001F2C0C" w:rsidRPr="00F3419E">
        <w:rPr>
          <w:sz w:val="28"/>
          <w:szCs w:val="28"/>
          <w:lang w:val="en-US"/>
        </w:rPr>
        <w:t xml:space="preserve">enacted </w:t>
      </w:r>
      <w:r w:rsidRPr="00F3419E">
        <w:rPr>
          <w:sz w:val="28"/>
          <w:szCs w:val="28"/>
          <w:lang w:val="en-US"/>
        </w:rPr>
        <w:t xml:space="preserve">the </w:t>
      </w:r>
      <w:r w:rsidR="001F2C0C" w:rsidRPr="00F3419E">
        <w:rPr>
          <w:sz w:val="28"/>
          <w:szCs w:val="28"/>
          <w:lang w:val="en-US"/>
        </w:rPr>
        <w:t>e</w:t>
      </w:r>
      <w:r w:rsidRPr="00F3419E">
        <w:rPr>
          <w:sz w:val="28"/>
          <w:szCs w:val="28"/>
          <w:lang w:val="en-US"/>
        </w:rPr>
        <w:t xml:space="preserve">-Commerce Law </w:t>
      </w:r>
      <w:r w:rsidR="001F2C0C" w:rsidRPr="00F3419E">
        <w:rPr>
          <w:sz w:val="28"/>
          <w:szCs w:val="28"/>
          <w:lang w:val="en-US"/>
        </w:rPr>
        <w:t xml:space="preserve">and adopted its </w:t>
      </w:r>
      <w:r w:rsidRPr="00F3419E">
        <w:rPr>
          <w:sz w:val="28"/>
          <w:szCs w:val="28"/>
          <w:lang w:val="en-US"/>
        </w:rPr>
        <w:t xml:space="preserve">secondary regulations in 2015. Although we welcome this development, some of the rules </w:t>
      </w:r>
      <w:r w:rsidR="001F2C0C" w:rsidRPr="00F3419E">
        <w:rPr>
          <w:sz w:val="28"/>
          <w:szCs w:val="28"/>
          <w:lang w:val="en-US"/>
        </w:rPr>
        <w:t>are not consistent</w:t>
      </w:r>
      <w:r w:rsidRPr="00F3419E">
        <w:rPr>
          <w:sz w:val="28"/>
          <w:szCs w:val="28"/>
          <w:lang w:val="en-US"/>
        </w:rPr>
        <w:t xml:space="preserve"> </w:t>
      </w:r>
      <w:r w:rsidR="00B91BC7">
        <w:rPr>
          <w:sz w:val="28"/>
          <w:szCs w:val="28"/>
          <w:lang w:val="en-US"/>
        </w:rPr>
        <w:t xml:space="preserve">with </w:t>
      </w:r>
      <w:r w:rsidR="00F74732" w:rsidRPr="00F3419E">
        <w:rPr>
          <w:sz w:val="28"/>
          <w:szCs w:val="28"/>
          <w:lang w:val="en-US"/>
        </w:rPr>
        <w:t xml:space="preserve">international </w:t>
      </w:r>
      <w:r w:rsidRPr="00F3419E">
        <w:rPr>
          <w:sz w:val="28"/>
          <w:szCs w:val="28"/>
          <w:lang w:val="en-US"/>
        </w:rPr>
        <w:t>standards</w:t>
      </w:r>
      <w:r w:rsidR="001F2C0C" w:rsidRPr="00F3419E">
        <w:rPr>
          <w:sz w:val="28"/>
          <w:szCs w:val="28"/>
          <w:lang w:val="en-US"/>
        </w:rPr>
        <w:t xml:space="preserve"> and practices</w:t>
      </w:r>
      <w:r w:rsidRPr="00F3419E">
        <w:rPr>
          <w:sz w:val="28"/>
          <w:szCs w:val="28"/>
          <w:lang w:val="en-US"/>
        </w:rPr>
        <w:t xml:space="preserve">, such as </w:t>
      </w:r>
      <w:r w:rsidR="001F2C0C" w:rsidRPr="00F3419E">
        <w:rPr>
          <w:sz w:val="28"/>
          <w:szCs w:val="28"/>
          <w:lang w:val="en-US"/>
        </w:rPr>
        <w:t xml:space="preserve">those found </w:t>
      </w:r>
      <w:r w:rsidR="00B91BC7">
        <w:rPr>
          <w:sz w:val="28"/>
          <w:szCs w:val="28"/>
          <w:lang w:val="en-US"/>
        </w:rPr>
        <w:t xml:space="preserve">in </w:t>
      </w:r>
      <w:r w:rsidRPr="00F3419E">
        <w:rPr>
          <w:sz w:val="28"/>
          <w:szCs w:val="28"/>
          <w:lang w:val="en-US"/>
        </w:rPr>
        <w:t xml:space="preserve">the EU and US. </w:t>
      </w:r>
      <w:r w:rsidR="00F74732" w:rsidRPr="00F3419E">
        <w:rPr>
          <w:sz w:val="28"/>
          <w:szCs w:val="28"/>
          <w:lang w:val="en-US"/>
        </w:rPr>
        <w:t xml:space="preserve">This creates barriers to entry into the Turkish market and to limits the ability of US companies to </w:t>
      </w:r>
      <w:r w:rsidRPr="00F3419E">
        <w:rPr>
          <w:sz w:val="28"/>
          <w:szCs w:val="28"/>
          <w:lang w:val="en-US"/>
        </w:rPr>
        <w:t>target Turkish consumers.</w:t>
      </w:r>
    </w:p>
    <w:p w:rsidR="003C01CE" w:rsidRDefault="003C01CE" w:rsidP="003C01CE">
      <w:pPr>
        <w:pStyle w:val="BodyText"/>
        <w:spacing w:after="0" w:line="240" w:lineRule="auto"/>
        <w:rPr>
          <w:sz w:val="28"/>
          <w:szCs w:val="28"/>
          <w:lang w:val="en-US"/>
        </w:rPr>
      </w:pPr>
    </w:p>
    <w:p w:rsidR="003C01CE" w:rsidRPr="003C01CE" w:rsidRDefault="003C01CE" w:rsidP="003C01CE">
      <w:pPr>
        <w:pStyle w:val="BodyText"/>
        <w:spacing w:after="0" w:line="240" w:lineRule="auto"/>
        <w:rPr>
          <w:b/>
          <w:sz w:val="28"/>
          <w:szCs w:val="28"/>
          <w:lang w:val="en-US"/>
        </w:rPr>
      </w:pPr>
      <w:r w:rsidRPr="003C01CE">
        <w:rPr>
          <w:b/>
          <w:sz w:val="28"/>
          <w:szCs w:val="28"/>
          <w:lang w:val="en-US"/>
        </w:rPr>
        <w:t>Turkish Collecting Societies</w:t>
      </w:r>
    </w:p>
    <w:p w:rsidR="00C40D79" w:rsidRPr="00F3419E" w:rsidRDefault="00C40D79" w:rsidP="00EE716D">
      <w:pPr>
        <w:pStyle w:val="BodyText"/>
        <w:spacing w:after="0" w:line="240" w:lineRule="auto"/>
        <w:ind w:left="720"/>
        <w:rPr>
          <w:sz w:val="28"/>
          <w:szCs w:val="28"/>
          <w:lang w:val="en-US"/>
        </w:rPr>
      </w:pPr>
    </w:p>
    <w:p w:rsidR="00692327" w:rsidRDefault="00692327" w:rsidP="003C01CE">
      <w:pPr>
        <w:pStyle w:val="BodyText"/>
        <w:spacing w:after="0" w:line="240" w:lineRule="auto"/>
        <w:rPr>
          <w:sz w:val="28"/>
          <w:szCs w:val="28"/>
          <w:lang w:val="en-US"/>
        </w:rPr>
      </w:pPr>
      <w:r w:rsidRPr="00F3419E">
        <w:rPr>
          <w:sz w:val="28"/>
          <w:szCs w:val="28"/>
          <w:lang w:val="en-US"/>
        </w:rPr>
        <w:t xml:space="preserve">One of the major barriers to </w:t>
      </w:r>
      <w:r w:rsidR="00B26E4B" w:rsidRPr="00F3419E">
        <w:rPr>
          <w:sz w:val="28"/>
          <w:szCs w:val="28"/>
          <w:lang w:val="en-US"/>
        </w:rPr>
        <w:t xml:space="preserve">market </w:t>
      </w:r>
      <w:r w:rsidRPr="00F3419E">
        <w:rPr>
          <w:sz w:val="28"/>
          <w:szCs w:val="28"/>
          <w:lang w:val="en-US"/>
        </w:rPr>
        <w:t xml:space="preserve">entry for providers of online content in Turkey is the strong position of Turkish collecting societies, which have the exclusive right to collect royalties on behalf of artwork owners and publishers. Their bargaining position is especially apparent where internet content providers negotiate royalties for content delivered into Turkey. </w:t>
      </w:r>
    </w:p>
    <w:p w:rsidR="00C40D79" w:rsidRPr="003C01CE" w:rsidRDefault="00C40D79" w:rsidP="002460D4">
      <w:pPr>
        <w:pStyle w:val="BodyText"/>
        <w:spacing w:after="0" w:line="240" w:lineRule="auto"/>
        <w:rPr>
          <w:sz w:val="28"/>
          <w:szCs w:val="28"/>
          <w:lang w:val="en-US"/>
        </w:rPr>
      </w:pPr>
    </w:p>
    <w:p w:rsidR="00692327" w:rsidRPr="00F4628F" w:rsidRDefault="00692327" w:rsidP="002460D4">
      <w:pPr>
        <w:pStyle w:val="BodyText"/>
        <w:keepNext/>
        <w:keepLines/>
        <w:spacing w:after="0" w:line="240" w:lineRule="auto"/>
        <w:ind w:left="360" w:hanging="360"/>
        <w:rPr>
          <w:sz w:val="32"/>
          <w:szCs w:val="32"/>
          <w:lang w:val="en-US"/>
        </w:rPr>
      </w:pPr>
      <w:r w:rsidRPr="00F4628F">
        <w:rPr>
          <w:b/>
          <w:sz w:val="32"/>
          <w:szCs w:val="32"/>
          <w:lang w:val="en-US"/>
        </w:rPr>
        <w:lastRenderedPageBreak/>
        <w:t>2.</w:t>
      </w:r>
      <w:r w:rsidRPr="00F4628F">
        <w:rPr>
          <w:b/>
          <w:sz w:val="32"/>
          <w:szCs w:val="32"/>
          <w:lang w:val="en-US"/>
        </w:rPr>
        <w:tab/>
        <w:t>Cross-Border Data Flows</w:t>
      </w:r>
    </w:p>
    <w:p w:rsidR="00C40D79" w:rsidRPr="00EE716D" w:rsidRDefault="00C40D79" w:rsidP="002460D4">
      <w:pPr>
        <w:pStyle w:val="BodyText"/>
        <w:keepNext/>
        <w:keepLines/>
        <w:spacing w:after="0" w:line="240" w:lineRule="auto"/>
        <w:ind w:left="360" w:hanging="360"/>
        <w:rPr>
          <w:szCs w:val="22"/>
          <w:lang w:val="en-US"/>
        </w:rPr>
      </w:pPr>
    </w:p>
    <w:p w:rsidR="00C40D79" w:rsidRDefault="00692327" w:rsidP="00F4628F">
      <w:pPr>
        <w:pStyle w:val="BodyText"/>
        <w:spacing w:after="0" w:line="240" w:lineRule="auto"/>
        <w:rPr>
          <w:sz w:val="28"/>
          <w:szCs w:val="28"/>
          <w:lang w:val="en-US"/>
        </w:rPr>
      </w:pPr>
      <w:r w:rsidRPr="00F4628F">
        <w:rPr>
          <w:sz w:val="28"/>
          <w:szCs w:val="28"/>
          <w:lang w:val="en-US"/>
        </w:rPr>
        <w:t xml:space="preserve">The growth of the digital economy is being significantly shaped by the shift to cloud computing and the wealth of new applications and services now being delivered over the internet thanks to cloud computing technologies. For cloud computing to be technically and economically viable, a global data flow between data centers both inside and outside Turkey is essential. Recent legislative developments in Turkey have allowed businesses to move some of their operations onto the internet and to develop creative electronic services, such as electronic invoicing, electronic general assembly and executive board meetings, electronic bookkeeping, and new payment and e-money services. The potential of these services and Turkey’s ability to maximize the benefit is currently limited as regulatory barriers in certain sectors in Turkey, </w:t>
      </w:r>
      <w:r w:rsidR="009B0C9F" w:rsidRPr="00F4628F">
        <w:rPr>
          <w:sz w:val="28"/>
          <w:szCs w:val="28"/>
          <w:lang w:val="en-US"/>
        </w:rPr>
        <w:t>such as payment systems</w:t>
      </w:r>
      <w:r w:rsidRPr="00F4628F">
        <w:rPr>
          <w:sz w:val="28"/>
          <w:szCs w:val="28"/>
          <w:lang w:val="en-US"/>
        </w:rPr>
        <w:t>, prevent effective management of international data flows.</w:t>
      </w:r>
    </w:p>
    <w:p w:rsidR="00C40D79" w:rsidRPr="00F4628F" w:rsidRDefault="00C40D79" w:rsidP="002460D4">
      <w:pPr>
        <w:pStyle w:val="BodyText"/>
        <w:spacing w:after="0" w:line="240" w:lineRule="auto"/>
        <w:rPr>
          <w:sz w:val="28"/>
          <w:szCs w:val="28"/>
          <w:lang w:val="en-US"/>
        </w:rPr>
      </w:pPr>
    </w:p>
    <w:p w:rsidR="00692327" w:rsidRPr="00F4628F" w:rsidRDefault="00692327" w:rsidP="00F4628F">
      <w:pPr>
        <w:pStyle w:val="BodyText"/>
        <w:keepNext/>
        <w:keepLines/>
        <w:spacing w:after="0" w:line="240" w:lineRule="auto"/>
        <w:ind w:left="360" w:hanging="360"/>
        <w:rPr>
          <w:sz w:val="32"/>
          <w:szCs w:val="32"/>
          <w:lang w:val="en-US"/>
        </w:rPr>
      </w:pPr>
      <w:r w:rsidRPr="00F4628F">
        <w:rPr>
          <w:b/>
          <w:sz w:val="32"/>
          <w:szCs w:val="32"/>
          <w:lang w:val="en-US"/>
        </w:rPr>
        <w:t>3.</w:t>
      </w:r>
      <w:r w:rsidRPr="00F4628F">
        <w:rPr>
          <w:b/>
          <w:sz w:val="32"/>
          <w:szCs w:val="32"/>
          <w:lang w:val="en-US"/>
        </w:rPr>
        <w:tab/>
        <w:t>High-Speed Broadband Access</w:t>
      </w:r>
    </w:p>
    <w:p w:rsidR="00C40D79" w:rsidRPr="00F4628F" w:rsidRDefault="00C40D79" w:rsidP="00F4628F">
      <w:pPr>
        <w:pStyle w:val="BodyText"/>
        <w:keepNext/>
        <w:keepLines/>
        <w:spacing w:after="0" w:line="240" w:lineRule="auto"/>
        <w:ind w:left="360" w:hanging="360"/>
        <w:rPr>
          <w:sz w:val="28"/>
          <w:szCs w:val="28"/>
          <w:lang w:val="en-US"/>
        </w:rPr>
      </w:pPr>
    </w:p>
    <w:p w:rsidR="00692327" w:rsidRDefault="00692327" w:rsidP="00F4628F">
      <w:pPr>
        <w:pStyle w:val="BodyText"/>
        <w:keepNext/>
        <w:keepLines/>
        <w:spacing w:after="0" w:line="240" w:lineRule="auto"/>
        <w:rPr>
          <w:sz w:val="28"/>
          <w:szCs w:val="28"/>
          <w:lang w:val="en-US"/>
        </w:rPr>
      </w:pPr>
      <w:r w:rsidRPr="00F4628F">
        <w:rPr>
          <w:sz w:val="28"/>
          <w:szCs w:val="28"/>
        </w:rPr>
        <w:t xml:space="preserve">The unequal access to and utilization of information and communication technologies is a </w:t>
      </w:r>
      <w:r w:rsidR="00B26E4B" w:rsidRPr="00F4628F">
        <w:rPr>
          <w:sz w:val="28"/>
          <w:szCs w:val="28"/>
        </w:rPr>
        <w:t>significant</w:t>
      </w:r>
      <w:r w:rsidRPr="00F4628F">
        <w:rPr>
          <w:sz w:val="28"/>
          <w:szCs w:val="28"/>
        </w:rPr>
        <w:t xml:space="preserve"> problem </w:t>
      </w:r>
      <w:r w:rsidR="00B26E4B" w:rsidRPr="00F4628F">
        <w:rPr>
          <w:sz w:val="28"/>
          <w:szCs w:val="28"/>
        </w:rPr>
        <w:t>in</w:t>
      </w:r>
      <w:r w:rsidRPr="00F4628F">
        <w:rPr>
          <w:sz w:val="28"/>
          <w:szCs w:val="28"/>
        </w:rPr>
        <w:t xml:space="preserve"> Turkey. To overcome this “digital divide”, </w:t>
      </w:r>
      <w:r w:rsidRPr="00F4628F">
        <w:rPr>
          <w:sz w:val="28"/>
          <w:szCs w:val="28"/>
          <w:lang w:val="en-US"/>
        </w:rPr>
        <w:t>competition at network and service levels and targeted subsidies could help to connect underserved areas where the market fails to do so.</w:t>
      </w:r>
    </w:p>
    <w:p w:rsidR="00C40D79" w:rsidRPr="00F4628F" w:rsidRDefault="00C40D79" w:rsidP="002460D4">
      <w:pPr>
        <w:pStyle w:val="BodyText"/>
        <w:spacing w:after="0" w:line="240" w:lineRule="auto"/>
        <w:rPr>
          <w:sz w:val="28"/>
          <w:szCs w:val="28"/>
          <w:lang w:val="en-US"/>
        </w:rPr>
      </w:pPr>
    </w:p>
    <w:p w:rsidR="00692327" w:rsidRPr="00F4628F" w:rsidRDefault="00692327" w:rsidP="00EE716D">
      <w:pPr>
        <w:pStyle w:val="BodyText"/>
        <w:keepNext/>
        <w:spacing w:after="0" w:line="240" w:lineRule="auto"/>
        <w:ind w:left="360" w:hanging="360"/>
        <w:rPr>
          <w:sz w:val="32"/>
          <w:szCs w:val="32"/>
          <w:lang w:val="en-US"/>
        </w:rPr>
      </w:pPr>
      <w:r w:rsidRPr="00F4628F">
        <w:rPr>
          <w:b/>
          <w:sz w:val="32"/>
          <w:szCs w:val="32"/>
          <w:lang w:val="en-US"/>
        </w:rPr>
        <w:t xml:space="preserve">4. </w:t>
      </w:r>
      <w:r w:rsidRPr="00F4628F">
        <w:rPr>
          <w:b/>
          <w:sz w:val="32"/>
          <w:szCs w:val="32"/>
          <w:lang w:val="en-US"/>
        </w:rPr>
        <w:tab/>
        <w:t>Tax and Customs</w:t>
      </w:r>
    </w:p>
    <w:p w:rsidR="00C40D79" w:rsidRPr="00F4628F" w:rsidRDefault="00C40D79" w:rsidP="00EE716D">
      <w:pPr>
        <w:pStyle w:val="BodyText"/>
        <w:keepNext/>
        <w:spacing w:after="0" w:line="240" w:lineRule="auto"/>
        <w:ind w:left="360" w:hanging="360"/>
        <w:rPr>
          <w:sz w:val="28"/>
          <w:szCs w:val="28"/>
          <w:lang w:val="en-US"/>
        </w:rPr>
      </w:pPr>
    </w:p>
    <w:p w:rsidR="00F4628F" w:rsidRPr="00F4628F" w:rsidRDefault="00F4628F" w:rsidP="00F4628F">
      <w:pPr>
        <w:pStyle w:val="BodyText"/>
        <w:spacing w:after="0" w:line="240" w:lineRule="auto"/>
        <w:rPr>
          <w:b/>
          <w:sz w:val="28"/>
          <w:szCs w:val="28"/>
          <w:lang w:val="en-US"/>
        </w:rPr>
      </w:pPr>
      <w:r w:rsidRPr="00F4628F">
        <w:rPr>
          <w:b/>
          <w:sz w:val="28"/>
          <w:szCs w:val="28"/>
          <w:lang w:val="en-US"/>
        </w:rPr>
        <w:t>Permanent Establishments</w:t>
      </w:r>
    </w:p>
    <w:p w:rsidR="00F4628F" w:rsidRDefault="00F4628F" w:rsidP="00F4628F">
      <w:pPr>
        <w:pStyle w:val="BodyText"/>
        <w:spacing w:after="0" w:line="240" w:lineRule="auto"/>
        <w:rPr>
          <w:sz w:val="28"/>
          <w:szCs w:val="28"/>
          <w:lang w:val="en-US"/>
        </w:rPr>
      </w:pPr>
    </w:p>
    <w:p w:rsidR="00EF7E44" w:rsidRPr="0047235A" w:rsidRDefault="00EF7E44" w:rsidP="00F4628F">
      <w:pPr>
        <w:pStyle w:val="BodyText"/>
        <w:spacing w:after="0" w:line="240" w:lineRule="auto"/>
        <w:rPr>
          <w:sz w:val="28"/>
          <w:szCs w:val="28"/>
          <w:lang w:val="en-US"/>
        </w:rPr>
      </w:pPr>
      <w:r w:rsidRPr="00EF7E44">
        <w:rPr>
          <w:sz w:val="28"/>
          <w:szCs w:val="28"/>
        </w:rPr>
        <w:t>Given the extraterritorial nature of IT/C services, the issue of taxable “permanent establishments” in Turkey is particularly important for the sector. Turkish law uses a “fixed place of business” standard which is not sufficiently flexible to handle the IT/C services, and leaves Turkey without a</w:t>
      </w:r>
      <w:r w:rsidR="0047235A">
        <w:rPr>
          <w:sz w:val="28"/>
          <w:szCs w:val="28"/>
        </w:rPr>
        <w:t>n</w:t>
      </w:r>
      <w:r w:rsidRPr="00EF7E44">
        <w:rPr>
          <w:sz w:val="28"/>
          <w:szCs w:val="28"/>
        </w:rPr>
        <w:t xml:space="preserve"> objective</w:t>
      </w:r>
      <w:r w:rsidR="0047235A">
        <w:rPr>
          <w:sz w:val="28"/>
          <w:szCs w:val="28"/>
        </w:rPr>
        <w:t xml:space="preserve"> legal</w:t>
      </w:r>
      <w:r w:rsidRPr="00EF7E44">
        <w:rPr>
          <w:sz w:val="28"/>
          <w:szCs w:val="28"/>
        </w:rPr>
        <w:t xml:space="preserve"> basis to assess PE </w:t>
      </w:r>
      <w:r w:rsidRPr="0047235A">
        <w:rPr>
          <w:sz w:val="28"/>
          <w:szCs w:val="28"/>
        </w:rPr>
        <w:t>questions for this sector. This approach creates an environment of uncertainty and leads to subjective enforcement that discourages new market entry</w:t>
      </w:r>
      <w:r w:rsidR="0047235A" w:rsidRPr="0047235A">
        <w:rPr>
          <w:sz w:val="28"/>
          <w:szCs w:val="28"/>
        </w:rPr>
        <w:t xml:space="preserve">. </w:t>
      </w:r>
      <w:r w:rsidRPr="0047235A">
        <w:rPr>
          <w:sz w:val="28"/>
          <w:szCs w:val="28"/>
        </w:rPr>
        <w:t xml:space="preserve">In addition, while Turkey’s double tax treaties include the international standard definition of permanent establishment, Turkey uses a more </w:t>
      </w:r>
      <w:r w:rsidR="0047235A" w:rsidRPr="0047235A">
        <w:rPr>
          <w:sz w:val="28"/>
          <w:szCs w:val="28"/>
        </w:rPr>
        <w:t>e</w:t>
      </w:r>
      <w:r w:rsidRPr="0047235A">
        <w:rPr>
          <w:sz w:val="28"/>
          <w:szCs w:val="28"/>
        </w:rPr>
        <w:t>xpansive interpretation than most other countries.</w:t>
      </w:r>
    </w:p>
    <w:p w:rsidR="00A55CC2" w:rsidRDefault="00A55CC2" w:rsidP="00F4628F">
      <w:pPr>
        <w:pStyle w:val="BodyText"/>
        <w:spacing w:after="0" w:line="240" w:lineRule="auto"/>
        <w:rPr>
          <w:sz w:val="28"/>
          <w:szCs w:val="28"/>
          <w:lang w:val="en-US"/>
        </w:rPr>
      </w:pPr>
    </w:p>
    <w:p w:rsidR="00692327" w:rsidRDefault="00692327" w:rsidP="00F4628F">
      <w:pPr>
        <w:pStyle w:val="BodyText"/>
        <w:spacing w:after="0" w:line="240" w:lineRule="auto"/>
        <w:rPr>
          <w:sz w:val="28"/>
          <w:szCs w:val="28"/>
          <w:lang w:val="en-US"/>
        </w:rPr>
      </w:pPr>
    </w:p>
    <w:p w:rsidR="00F4628F" w:rsidRDefault="00F4628F" w:rsidP="00F4628F">
      <w:pPr>
        <w:pStyle w:val="BodyText"/>
        <w:spacing w:after="0" w:line="240" w:lineRule="auto"/>
        <w:rPr>
          <w:sz w:val="28"/>
          <w:szCs w:val="28"/>
          <w:lang w:val="en-US"/>
        </w:rPr>
      </w:pPr>
    </w:p>
    <w:p w:rsidR="00F4628F" w:rsidRPr="00662515" w:rsidRDefault="00662515" w:rsidP="00662515">
      <w:pPr>
        <w:pStyle w:val="BodyText"/>
        <w:keepNext/>
        <w:spacing w:after="0" w:line="240" w:lineRule="auto"/>
        <w:rPr>
          <w:b/>
          <w:sz w:val="28"/>
          <w:szCs w:val="28"/>
          <w:lang w:val="en-US"/>
        </w:rPr>
      </w:pPr>
      <w:r w:rsidRPr="00662515">
        <w:rPr>
          <w:b/>
          <w:sz w:val="28"/>
          <w:szCs w:val="28"/>
          <w:lang w:val="en-US"/>
        </w:rPr>
        <w:t>VAT and SCT on Certain Electronic Devices</w:t>
      </w:r>
    </w:p>
    <w:p w:rsidR="00662515" w:rsidRPr="00D81CAC" w:rsidRDefault="00662515" w:rsidP="00662515">
      <w:pPr>
        <w:pStyle w:val="BodyText"/>
        <w:keepNext/>
        <w:spacing w:after="0" w:line="240" w:lineRule="auto"/>
        <w:rPr>
          <w:sz w:val="28"/>
          <w:szCs w:val="28"/>
          <w:lang w:val="en-US"/>
        </w:rPr>
      </w:pPr>
    </w:p>
    <w:p w:rsidR="00692327" w:rsidRPr="00D505B0" w:rsidRDefault="00D81CAC" w:rsidP="00D81CAC">
      <w:pPr>
        <w:pStyle w:val="BodyText"/>
        <w:spacing w:after="0" w:line="240" w:lineRule="auto"/>
        <w:rPr>
          <w:sz w:val="28"/>
          <w:szCs w:val="28"/>
        </w:rPr>
      </w:pPr>
      <w:r w:rsidRPr="00D505B0">
        <w:rPr>
          <w:sz w:val="28"/>
          <w:szCs w:val="28"/>
        </w:rPr>
        <w:t xml:space="preserve">Equipment and broadband penetration are prerequisites to the development of a strong and vibrant IT/C sector. Broadband penetration can be boosted by increasing penetration rates for IT equipment such as computers and smart phones.  Improved broadband penetration could help increase tax revenues from related services, and so would be a useful economic stimulus for Turkey. IT equipment is not included in the list of “reduced or zero-rated” goods and services under </w:t>
      </w:r>
      <w:r w:rsidR="00D505B0" w:rsidRPr="00D505B0">
        <w:rPr>
          <w:sz w:val="28"/>
          <w:szCs w:val="28"/>
        </w:rPr>
        <w:t xml:space="preserve">the </w:t>
      </w:r>
      <w:r w:rsidRPr="00D505B0">
        <w:rPr>
          <w:sz w:val="28"/>
          <w:szCs w:val="28"/>
        </w:rPr>
        <w:t xml:space="preserve">Turkish VAT </w:t>
      </w:r>
      <w:r w:rsidR="00D505B0" w:rsidRPr="00D505B0">
        <w:rPr>
          <w:sz w:val="28"/>
          <w:szCs w:val="28"/>
        </w:rPr>
        <w:t>law. Expanding the reduced/zero-</w:t>
      </w:r>
      <w:r w:rsidRPr="00D505B0">
        <w:rPr>
          <w:sz w:val="28"/>
          <w:szCs w:val="28"/>
        </w:rPr>
        <w:t xml:space="preserve">rated list to include this equipment would encourage IT investment and market entry in Turkey. </w:t>
      </w:r>
    </w:p>
    <w:p w:rsidR="00662515" w:rsidRPr="00D505B0" w:rsidRDefault="00662515" w:rsidP="00F4628F">
      <w:pPr>
        <w:pStyle w:val="BodyText"/>
        <w:spacing w:after="0" w:line="240" w:lineRule="auto"/>
        <w:rPr>
          <w:sz w:val="28"/>
          <w:szCs w:val="28"/>
          <w:lang w:val="en-US"/>
        </w:rPr>
      </w:pPr>
    </w:p>
    <w:p w:rsidR="00662515" w:rsidRDefault="00662515" w:rsidP="00F4628F">
      <w:pPr>
        <w:pStyle w:val="BodyText"/>
        <w:spacing w:after="0" w:line="240" w:lineRule="auto"/>
        <w:rPr>
          <w:sz w:val="28"/>
          <w:szCs w:val="28"/>
          <w:lang w:val="en-US"/>
        </w:rPr>
      </w:pPr>
      <w:r w:rsidRPr="00662515">
        <w:rPr>
          <w:b/>
          <w:sz w:val="28"/>
          <w:szCs w:val="28"/>
          <w:u w:val="single"/>
          <w:lang w:val="en-US"/>
        </w:rPr>
        <w:t>Recommendation</w:t>
      </w:r>
      <w:r w:rsidR="009C2603">
        <w:rPr>
          <w:b/>
          <w:sz w:val="28"/>
          <w:szCs w:val="28"/>
          <w:u w:val="single"/>
          <w:lang w:val="en-US"/>
        </w:rPr>
        <w:t>s</w:t>
      </w:r>
      <w:r>
        <w:rPr>
          <w:sz w:val="28"/>
          <w:szCs w:val="28"/>
          <w:lang w:val="en-US"/>
        </w:rPr>
        <w:t>:</w:t>
      </w:r>
    </w:p>
    <w:p w:rsidR="009C2603" w:rsidRDefault="009C2603" w:rsidP="00F4628F">
      <w:pPr>
        <w:pStyle w:val="BodyText"/>
        <w:spacing w:after="0" w:line="240" w:lineRule="auto"/>
        <w:rPr>
          <w:sz w:val="28"/>
          <w:szCs w:val="28"/>
          <w:lang w:val="en-US"/>
        </w:rPr>
      </w:pPr>
    </w:p>
    <w:p w:rsidR="009C2603" w:rsidRDefault="009C2603" w:rsidP="009C2603">
      <w:pPr>
        <w:pStyle w:val="BodyText"/>
        <w:spacing w:after="0" w:line="240" w:lineRule="auto"/>
        <w:rPr>
          <w:sz w:val="28"/>
          <w:szCs w:val="28"/>
          <w:lang w:val="en-US"/>
        </w:rPr>
      </w:pPr>
      <w:r w:rsidRPr="00F3419E">
        <w:rPr>
          <w:sz w:val="28"/>
          <w:szCs w:val="28"/>
          <w:lang w:val="en-US"/>
        </w:rPr>
        <w:t>The Council recommends that the Turkish government accelerate enactment of th</w:t>
      </w:r>
      <w:r>
        <w:rPr>
          <w:sz w:val="28"/>
          <w:szCs w:val="28"/>
          <w:lang w:val="en-US"/>
        </w:rPr>
        <w:t>e draft "Law on Industrial Property"</w:t>
      </w:r>
      <w:r w:rsidRPr="00F3419E">
        <w:rPr>
          <w:sz w:val="28"/>
          <w:szCs w:val="28"/>
          <w:lang w:val="en-US"/>
        </w:rPr>
        <w:t>, with the proposed revisions</w:t>
      </w:r>
      <w:r>
        <w:rPr>
          <w:sz w:val="28"/>
          <w:szCs w:val="28"/>
          <w:lang w:val="en-US"/>
        </w:rPr>
        <w:t xml:space="preserve"> specified above</w:t>
      </w:r>
      <w:r w:rsidRPr="00F3419E">
        <w:rPr>
          <w:sz w:val="28"/>
          <w:szCs w:val="28"/>
          <w:lang w:val="en-US"/>
        </w:rPr>
        <w:t>, to establish a workable legal framework, provide a greater protection of intellectual and industrial property rights consistent with international standards with a few important changes to the law.</w:t>
      </w:r>
    </w:p>
    <w:p w:rsidR="009C2603" w:rsidRDefault="009C2603" w:rsidP="009C2603">
      <w:pPr>
        <w:pStyle w:val="BodyText"/>
        <w:spacing w:after="0" w:line="240" w:lineRule="auto"/>
        <w:rPr>
          <w:sz w:val="28"/>
          <w:szCs w:val="28"/>
          <w:lang w:val="en-US"/>
        </w:rPr>
      </w:pPr>
    </w:p>
    <w:p w:rsidR="009C2603" w:rsidRPr="008E329E" w:rsidRDefault="009C2603" w:rsidP="009C2603">
      <w:pPr>
        <w:pStyle w:val="BodyText"/>
        <w:spacing w:after="0" w:line="240" w:lineRule="auto"/>
        <w:rPr>
          <w:sz w:val="28"/>
          <w:szCs w:val="28"/>
          <w:lang w:val="en-US"/>
        </w:rPr>
      </w:pPr>
      <w:r w:rsidRPr="008E329E">
        <w:rPr>
          <w:sz w:val="28"/>
          <w:szCs w:val="28"/>
          <w:lang w:val="en-US"/>
        </w:rPr>
        <w:t xml:space="preserve">The Council recommends that the Turkish government seek to implement a </w:t>
      </w:r>
      <w:r w:rsidRPr="00F3419E">
        <w:rPr>
          <w:rFonts w:asciiTheme="minorHAnsi" w:hAnsiTheme="minorHAnsi"/>
          <w:sz w:val="28"/>
          <w:szCs w:val="28"/>
          <w:lang w:val="en-US"/>
        </w:rPr>
        <w:t xml:space="preserve">regulatory data protection period (RDP) </w:t>
      </w:r>
      <w:r w:rsidRPr="008E329E">
        <w:rPr>
          <w:sz w:val="28"/>
          <w:szCs w:val="28"/>
          <w:lang w:val="en-US"/>
        </w:rPr>
        <w:t>framework that implements its existing international commitments.</w:t>
      </w:r>
    </w:p>
    <w:p w:rsidR="009C2603" w:rsidRPr="008E329E" w:rsidRDefault="009C2603" w:rsidP="009C2603">
      <w:pPr>
        <w:pStyle w:val="BodyText"/>
        <w:spacing w:after="0" w:line="240" w:lineRule="auto"/>
        <w:rPr>
          <w:sz w:val="28"/>
          <w:szCs w:val="28"/>
          <w:lang w:val="en-US"/>
        </w:rPr>
      </w:pPr>
    </w:p>
    <w:p w:rsidR="009C2603" w:rsidRDefault="009C2603" w:rsidP="009C2603">
      <w:pPr>
        <w:pStyle w:val="BodyText"/>
        <w:spacing w:after="0" w:line="240" w:lineRule="auto"/>
        <w:rPr>
          <w:sz w:val="28"/>
          <w:szCs w:val="28"/>
        </w:rPr>
      </w:pPr>
      <w:r w:rsidRPr="008E329E">
        <w:rPr>
          <w:sz w:val="28"/>
          <w:szCs w:val="28"/>
          <w:lang w:val="en-US"/>
        </w:rPr>
        <w:t xml:space="preserve">The Council also recommends </w:t>
      </w:r>
      <w:r>
        <w:rPr>
          <w:sz w:val="28"/>
          <w:szCs w:val="28"/>
          <w:lang w:val="en-US"/>
        </w:rPr>
        <w:t xml:space="preserve">increasing </w:t>
      </w:r>
      <w:r>
        <w:rPr>
          <w:sz w:val="28"/>
          <w:szCs w:val="28"/>
        </w:rPr>
        <w:t>R&amp;D on bio</w:t>
      </w:r>
      <w:r w:rsidRPr="008E329E">
        <w:rPr>
          <w:sz w:val="28"/>
          <w:szCs w:val="28"/>
        </w:rPr>
        <w:t>pharmaceuticals, collaboration between US and Turkey should be increased by means of scientist exchange between countries. As hands-on-training and expert experience is very important in R&amp;D in bio-pharmaceuticals, Turkish scientists should spend time in US companies for hands-on-training to increase their know-how and US scientists should be hosted in Turkish companies t</w:t>
      </w:r>
      <w:r>
        <w:rPr>
          <w:sz w:val="28"/>
          <w:szCs w:val="28"/>
        </w:rPr>
        <w:t>o share their experience in bio</w:t>
      </w:r>
      <w:r w:rsidRPr="008E329E">
        <w:rPr>
          <w:sz w:val="28"/>
          <w:szCs w:val="28"/>
        </w:rPr>
        <w:t>pharmaceutical production. Cross-collaboration between US an</w:t>
      </w:r>
      <w:r>
        <w:rPr>
          <w:sz w:val="28"/>
          <w:szCs w:val="28"/>
        </w:rPr>
        <w:t>d Turkey and developing new bio</w:t>
      </w:r>
      <w:r w:rsidRPr="008E329E">
        <w:rPr>
          <w:sz w:val="28"/>
          <w:szCs w:val="28"/>
        </w:rPr>
        <w:t>pharmaceuticals should also be supported.</w:t>
      </w:r>
    </w:p>
    <w:p w:rsidR="009C2603" w:rsidRDefault="009C2603" w:rsidP="009C2603">
      <w:pPr>
        <w:pStyle w:val="BodyText"/>
        <w:spacing w:after="0" w:line="240" w:lineRule="auto"/>
        <w:rPr>
          <w:sz w:val="28"/>
          <w:szCs w:val="28"/>
          <w:lang w:val="en-US"/>
        </w:rPr>
      </w:pPr>
    </w:p>
    <w:p w:rsidR="009C2603" w:rsidRPr="008E329E" w:rsidRDefault="009C2603" w:rsidP="009C2603">
      <w:pPr>
        <w:pStyle w:val="BodyText"/>
        <w:spacing w:after="0" w:line="240" w:lineRule="auto"/>
        <w:rPr>
          <w:sz w:val="28"/>
          <w:szCs w:val="28"/>
          <w:lang w:val="en-US"/>
        </w:rPr>
      </w:pPr>
      <w:r>
        <w:rPr>
          <w:sz w:val="28"/>
          <w:szCs w:val="28"/>
          <w:lang w:val="en-US"/>
        </w:rPr>
        <w:t xml:space="preserve">The Council recommends </w:t>
      </w:r>
      <w:r w:rsidRPr="008E329E">
        <w:rPr>
          <w:sz w:val="28"/>
          <w:szCs w:val="28"/>
          <w:lang w:val="en-US"/>
        </w:rPr>
        <w:t>that the Turkish government establish clear and comprehensive rules for online copyright infringement remedies, and educate judges on the proper application of the these rules.</w:t>
      </w:r>
    </w:p>
    <w:p w:rsidR="009C2603" w:rsidRPr="00F3419E" w:rsidRDefault="009C2603" w:rsidP="009C2603">
      <w:pPr>
        <w:pStyle w:val="BodyText"/>
        <w:spacing w:after="0" w:line="240" w:lineRule="auto"/>
        <w:rPr>
          <w:sz w:val="28"/>
          <w:szCs w:val="28"/>
          <w:lang w:val="en-US"/>
        </w:rPr>
      </w:pPr>
    </w:p>
    <w:p w:rsidR="009C2603" w:rsidRDefault="009C2603" w:rsidP="009C2603">
      <w:pPr>
        <w:pStyle w:val="BodyText"/>
        <w:spacing w:after="0" w:line="240" w:lineRule="auto"/>
        <w:rPr>
          <w:sz w:val="28"/>
          <w:szCs w:val="28"/>
          <w:lang w:val="en-US"/>
        </w:rPr>
      </w:pPr>
      <w:r>
        <w:rPr>
          <w:sz w:val="28"/>
          <w:szCs w:val="28"/>
          <w:lang w:val="en-US"/>
        </w:rPr>
        <w:t xml:space="preserve">The Council </w:t>
      </w:r>
      <w:r w:rsidRPr="003C01CE">
        <w:rPr>
          <w:sz w:val="28"/>
          <w:szCs w:val="28"/>
          <w:lang w:val="en-US"/>
        </w:rPr>
        <w:t>recommend</w:t>
      </w:r>
      <w:r>
        <w:rPr>
          <w:sz w:val="28"/>
          <w:szCs w:val="28"/>
          <w:lang w:val="en-US"/>
        </w:rPr>
        <w:t>s</w:t>
      </w:r>
      <w:r w:rsidRPr="003C01CE">
        <w:rPr>
          <w:sz w:val="28"/>
          <w:szCs w:val="28"/>
          <w:lang w:val="en-US"/>
        </w:rPr>
        <w:t xml:space="preserve"> that the Turkish government align its e-commerce rules with international standards.</w:t>
      </w:r>
    </w:p>
    <w:p w:rsidR="009C2603" w:rsidRDefault="009C2603" w:rsidP="009C2603">
      <w:pPr>
        <w:pStyle w:val="BodyText"/>
        <w:spacing w:after="0" w:line="240" w:lineRule="auto"/>
        <w:rPr>
          <w:sz w:val="28"/>
          <w:szCs w:val="28"/>
          <w:lang w:val="en-US"/>
        </w:rPr>
      </w:pPr>
    </w:p>
    <w:p w:rsidR="002460D4" w:rsidRPr="003C01CE" w:rsidRDefault="002460D4" w:rsidP="002460D4">
      <w:pPr>
        <w:pStyle w:val="BodyText"/>
        <w:keepLines/>
        <w:spacing w:after="0" w:line="240" w:lineRule="auto"/>
        <w:rPr>
          <w:sz w:val="28"/>
          <w:szCs w:val="28"/>
          <w:lang w:val="en-US"/>
        </w:rPr>
      </w:pPr>
      <w:r>
        <w:rPr>
          <w:sz w:val="28"/>
          <w:szCs w:val="28"/>
          <w:lang w:val="en-US"/>
        </w:rPr>
        <w:t xml:space="preserve">The Council </w:t>
      </w:r>
      <w:r w:rsidRPr="003C01CE">
        <w:rPr>
          <w:sz w:val="28"/>
          <w:szCs w:val="28"/>
          <w:lang w:val="en-US"/>
        </w:rPr>
        <w:t>recommend</w:t>
      </w:r>
      <w:r>
        <w:rPr>
          <w:sz w:val="28"/>
          <w:szCs w:val="28"/>
          <w:lang w:val="en-US"/>
        </w:rPr>
        <w:t>s</w:t>
      </w:r>
      <w:r w:rsidRPr="003C01CE">
        <w:rPr>
          <w:sz w:val="28"/>
          <w:szCs w:val="28"/>
          <w:lang w:val="en-US"/>
        </w:rPr>
        <w:t xml:space="preserve"> that the Turkish government limit the right of Turkish collecting societies to negotiate royalties for the online use, sale and distribution of content and, specifically, that collecting societies be required to set royalties on non-discriminatory terms and publish the royalties charged.</w:t>
      </w:r>
    </w:p>
    <w:p w:rsidR="002460D4" w:rsidRPr="00F4628F" w:rsidRDefault="002460D4" w:rsidP="002460D4">
      <w:pPr>
        <w:pStyle w:val="BodyText"/>
        <w:spacing w:after="0" w:line="240" w:lineRule="auto"/>
        <w:rPr>
          <w:sz w:val="28"/>
          <w:szCs w:val="28"/>
          <w:lang w:val="en-US"/>
        </w:rPr>
      </w:pPr>
    </w:p>
    <w:p w:rsidR="002460D4" w:rsidRPr="00F4628F" w:rsidRDefault="002460D4" w:rsidP="002460D4">
      <w:pPr>
        <w:pStyle w:val="BodyText"/>
        <w:spacing w:after="0" w:line="240" w:lineRule="auto"/>
        <w:rPr>
          <w:sz w:val="28"/>
          <w:szCs w:val="28"/>
          <w:lang w:val="en-US"/>
        </w:rPr>
      </w:pPr>
      <w:r>
        <w:rPr>
          <w:sz w:val="28"/>
          <w:szCs w:val="28"/>
          <w:lang w:val="en-US"/>
        </w:rPr>
        <w:t xml:space="preserve">The Council </w:t>
      </w:r>
      <w:r w:rsidRPr="00F4628F">
        <w:rPr>
          <w:sz w:val="28"/>
          <w:szCs w:val="28"/>
          <w:lang w:val="en-US"/>
        </w:rPr>
        <w:t>recommend</w:t>
      </w:r>
      <w:r>
        <w:rPr>
          <w:sz w:val="28"/>
          <w:szCs w:val="28"/>
          <w:lang w:val="en-US"/>
        </w:rPr>
        <w:t>s</w:t>
      </w:r>
      <w:r w:rsidRPr="00F4628F">
        <w:rPr>
          <w:sz w:val="28"/>
          <w:szCs w:val="28"/>
          <w:lang w:val="en-US"/>
        </w:rPr>
        <w:t xml:space="preserve"> that the regulatory barriers to the international transfer of data and its storage be removed to support the development and use of cloud computing services in Turkey and to enable Turkey to become a hub for not only the provision of such services but also for business operations using these services.</w:t>
      </w:r>
    </w:p>
    <w:p w:rsidR="002460D4" w:rsidRPr="009C2603" w:rsidRDefault="002460D4" w:rsidP="00F4628F">
      <w:pPr>
        <w:pStyle w:val="BodyText"/>
        <w:spacing w:after="0" w:line="240" w:lineRule="auto"/>
        <w:rPr>
          <w:sz w:val="28"/>
          <w:szCs w:val="28"/>
          <w:lang w:val="en-US"/>
        </w:rPr>
      </w:pPr>
    </w:p>
    <w:p w:rsidR="002460D4" w:rsidRPr="0047235A" w:rsidRDefault="002460D4" w:rsidP="002460D4">
      <w:pPr>
        <w:pStyle w:val="BodyText"/>
        <w:keepNext/>
        <w:keepLines/>
        <w:spacing w:after="0" w:line="240" w:lineRule="auto"/>
        <w:rPr>
          <w:sz w:val="28"/>
          <w:szCs w:val="28"/>
          <w:lang w:val="en-US"/>
        </w:rPr>
      </w:pPr>
      <w:r>
        <w:rPr>
          <w:sz w:val="28"/>
          <w:szCs w:val="28"/>
          <w:lang w:val="en-US"/>
        </w:rPr>
        <w:t xml:space="preserve">The Council </w:t>
      </w:r>
      <w:r w:rsidRPr="00F4628F">
        <w:rPr>
          <w:sz w:val="28"/>
          <w:szCs w:val="28"/>
          <w:lang w:val="en-US"/>
        </w:rPr>
        <w:t>recommend</w:t>
      </w:r>
      <w:r>
        <w:rPr>
          <w:sz w:val="28"/>
          <w:szCs w:val="28"/>
          <w:lang w:val="en-US"/>
        </w:rPr>
        <w:t>s</w:t>
      </w:r>
      <w:r w:rsidRPr="00F4628F">
        <w:rPr>
          <w:sz w:val="28"/>
          <w:szCs w:val="28"/>
          <w:lang w:val="en-US"/>
        </w:rPr>
        <w:t xml:space="preserve"> that the Turkish government create tools to promote further investment in Turkey’s next</w:t>
      </w:r>
      <w:r w:rsidRPr="00F4628F">
        <w:rPr>
          <w:sz w:val="28"/>
          <w:szCs w:val="28"/>
          <w:lang w:val="en-US"/>
        </w:rPr>
        <w:noBreakHyphen/>
        <w:t xml:space="preserve">generation “backbone” and access communications networks with national and regional tax incentives and </w:t>
      </w:r>
      <w:r w:rsidRPr="0047235A">
        <w:rPr>
          <w:sz w:val="28"/>
          <w:szCs w:val="28"/>
          <w:lang w:val="en-US"/>
        </w:rPr>
        <w:t>exemptions, at least at the early stages of operation.</w:t>
      </w:r>
    </w:p>
    <w:p w:rsidR="002460D4" w:rsidRPr="0047235A" w:rsidRDefault="002460D4" w:rsidP="00F4628F">
      <w:pPr>
        <w:pStyle w:val="BodyText"/>
        <w:spacing w:after="0" w:line="240" w:lineRule="auto"/>
        <w:rPr>
          <w:sz w:val="28"/>
          <w:szCs w:val="28"/>
          <w:lang w:val="en-US"/>
        </w:rPr>
      </w:pPr>
    </w:p>
    <w:p w:rsidR="0047235A" w:rsidRPr="00D505B0" w:rsidRDefault="0047235A" w:rsidP="0047235A">
      <w:pPr>
        <w:pStyle w:val="BodyText"/>
        <w:spacing w:after="0" w:line="240" w:lineRule="auto"/>
        <w:rPr>
          <w:sz w:val="28"/>
          <w:szCs w:val="28"/>
        </w:rPr>
      </w:pPr>
      <w:r w:rsidRPr="0047235A">
        <w:rPr>
          <w:iCs/>
          <w:sz w:val="28"/>
          <w:szCs w:val="28"/>
        </w:rPr>
        <w:t xml:space="preserve">The Council recommends </w:t>
      </w:r>
      <w:r w:rsidRPr="0047235A">
        <w:rPr>
          <w:sz w:val="28"/>
          <w:szCs w:val="28"/>
        </w:rPr>
        <w:t xml:space="preserve">that the Turkish government adopt legislative changes to provide an internationally accepted objective standard for assessing the existence of PEs for all companies, including those in the IT/C sector, that it adheres more strictly to OECD international standards of interpretation, and that it adopt clear objective guidance on the attribution of profits to PEs consistent with these standards. </w:t>
      </w:r>
      <w:r>
        <w:rPr>
          <w:sz w:val="28"/>
          <w:szCs w:val="28"/>
        </w:rPr>
        <w:t xml:space="preserve">The Council also recommends that </w:t>
      </w:r>
      <w:r w:rsidRPr="0047235A">
        <w:rPr>
          <w:sz w:val="28"/>
          <w:szCs w:val="28"/>
        </w:rPr>
        <w:t xml:space="preserve">the Turkish government </w:t>
      </w:r>
      <w:r w:rsidRPr="00D505B0">
        <w:rPr>
          <w:sz w:val="28"/>
          <w:szCs w:val="28"/>
        </w:rPr>
        <w:t xml:space="preserve">continue and expand local incentives available to all companies to facilitate development of intellectual property and technology skills in the Turkish market. </w:t>
      </w:r>
    </w:p>
    <w:p w:rsidR="0047235A" w:rsidRPr="00D505B0" w:rsidRDefault="0047235A" w:rsidP="00F4628F">
      <w:pPr>
        <w:pStyle w:val="BodyText"/>
        <w:spacing w:after="0" w:line="240" w:lineRule="auto"/>
        <w:rPr>
          <w:sz w:val="28"/>
          <w:szCs w:val="28"/>
        </w:rPr>
      </w:pPr>
    </w:p>
    <w:p w:rsidR="00D505B0" w:rsidRPr="00D505B0" w:rsidRDefault="00D505B0" w:rsidP="00D505B0">
      <w:pPr>
        <w:pStyle w:val="BodyText"/>
        <w:spacing w:after="0" w:line="240" w:lineRule="auto"/>
        <w:rPr>
          <w:sz w:val="28"/>
          <w:szCs w:val="28"/>
        </w:rPr>
      </w:pPr>
      <w:r w:rsidRPr="00D505B0">
        <w:rPr>
          <w:iCs/>
          <w:sz w:val="28"/>
          <w:szCs w:val="28"/>
        </w:rPr>
        <w:t>The Council recommends</w:t>
      </w:r>
      <w:r w:rsidRPr="00D505B0">
        <w:rPr>
          <w:sz w:val="28"/>
          <w:szCs w:val="28"/>
        </w:rPr>
        <w:t xml:space="preserve"> that the Turkish government add IT equipment such as computers and smart phones to the list of reduced or zero-rated CAT and SCT goods.</w:t>
      </w:r>
    </w:p>
    <w:p w:rsidR="00692327" w:rsidRPr="00D505B0" w:rsidRDefault="00692327" w:rsidP="00F4628F">
      <w:pPr>
        <w:pStyle w:val="BodyText"/>
        <w:spacing w:after="0" w:line="240" w:lineRule="auto"/>
        <w:rPr>
          <w:bCs/>
          <w:sz w:val="28"/>
          <w:szCs w:val="28"/>
          <w:lang w:val="en-US"/>
        </w:rPr>
      </w:pPr>
    </w:p>
    <w:p w:rsidR="00EA55AE" w:rsidRPr="00D505B0" w:rsidRDefault="00EA55AE" w:rsidP="00637B4E">
      <w:pPr>
        <w:rPr>
          <w:sz w:val="28"/>
          <w:szCs w:val="28"/>
        </w:rPr>
      </w:pPr>
    </w:p>
    <w:sectPr w:rsidR="00EA55AE" w:rsidRPr="00D505B0" w:rsidSect="00EA55A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BB" w:rsidRDefault="000066BB" w:rsidP="001C2E3E">
      <w:r>
        <w:separator/>
      </w:r>
    </w:p>
  </w:endnote>
  <w:endnote w:type="continuationSeparator" w:id="0">
    <w:p w:rsidR="000066BB" w:rsidRDefault="000066BB" w:rsidP="001C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5338"/>
      <w:docPartObj>
        <w:docPartGallery w:val="Page Numbers (Bottom of Page)"/>
        <w:docPartUnique/>
      </w:docPartObj>
    </w:sdtPr>
    <w:sdtEndPr>
      <w:rPr>
        <w:noProof/>
      </w:rPr>
    </w:sdtEndPr>
    <w:sdtContent>
      <w:p w:rsidR="00B91BC7" w:rsidRDefault="00B91BC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91BC7" w:rsidRDefault="00B91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BB" w:rsidRDefault="000066BB" w:rsidP="001C2E3E">
      <w:r>
        <w:separator/>
      </w:r>
    </w:p>
  </w:footnote>
  <w:footnote w:type="continuationSeparator" w:id="0">
    <w:p w:rsidR="000066BB" w:rsidRDefault="000066BB" w:rsidP="001C2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2A8"/>
    <w:multiLevelType w:val="hybridMultilevel"/>
    <w:tmpl w:val="A4443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11CEF"/>
    <w:multiLevelType w:val="hybridMultilevel"/>
    <w:tmpl w:val="EAD6D10C"/>
    <w:lvl w:ilvl="0" w:tplc="A1943D24">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B22911"/>
    <w:multiLevelType w:val="hybridMultilevel"/>
    <w:tmpl w:val="4CEC4D6E"/>
    <w:lvl w:ilvl="0" w:tplc="A1943D24">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119730-v4\LIBRARY"/>
    <w:docVar w:name="OfficeIni" w:val="Istanbul-EsinAttorney-ENGLISH.ini"/>
  </w:docVars>
  <w:rsids>
    <w:rsidRoot w:val="00692327"/>
    <w:rsid w:val="000066BB"/>
    <w:rsid w:val="00034E05"/>
    <w:rsid w:val="00085F94"/>
    <w:rsid w:val="000C06D8"/>
    <w:rsid w:val="000C3AFB"/>
    <w:rsid w:val="000D7CE4"/>
    <w:rsid w:val="000E4E10"/>
    <w:rsid w:val="000F46A4"/>
    <w:rsid w:val="00151E6E"/>
    <w:rsid w:val="00160FC4"/>
    <w:rsid w:val="00170D0C"/>
    <w:rsid w:val="001B13C4"/>
    <w:rsid w:val="001C2E3E"/>
    <w:rsid w:val="001F1F28"/>
    <w:rsid w:val="001F2C0C"/>
    <w:rsid w:val="001F6EFE"/>
    <w:rsid w:val="002460D4"/>
    <w:rsid w:val="002515EF"/>
    <w:rsid w:val="002547FA"/>
    <w:rsid w:val="00260C4A"/>
    <w:rsid w:val="00267469"/>
    <w:rsid w:val="002B0B2F"/>
    <w:rsid w:val="002E552B"/>
    <w:rsid w:val="003137FA"/>
    <w:rsid w:val="003179B8"/>
    <w:rsid w:val="00333C67"/>
    <w:rsid w:val="003527CB"/>
    <w:rsid w:val="003615DB"/>
    <w:rsid w:val="003724D3"/>
    <w:rsid w:val="0037448A"/>
    <w:rsid w:val="00375D22"/>
    <w:rsid w:val="00376D0D"/>
    <w:rsid w:val="00382C0A"/>
    <w:rsid w:val="00395120"/>
    <w:rsid w:val="003A0424"/>
    <w:rsid w:val="003B332B"/>
    <w:rsid w:val="003C01CE"/>
    <w:rsid w:val="003D2CC9"/>
    <w:rsid w:val="00407D27"/>
    <w:rsid w:val="0044784E"/>
    <w:rsid w:val="00461C1A"/>
    <w:rsid w:val="0046535D"/>
    <w:rsid w:val="00466144"/>
    <w:rsid w:val="004709EB"/>
    <w:rsid w:val="0047235A"/>
    <w:rsid w:val="00474CE3"/>
    <w:rsid w:val="004B75D8"/>
    <w:rsid w:val="004C2065"/>
    <w:rsid w:val="004D10CE"/>
    <w:rsid w:val="004E41C8"/>
    <w:rsid w:val="004F1BF2"/>
    <w:rsid w:val="00560E25"/>
    <w:rsid w:val="00585201"/>
    <w:rsid w:val="005949A8"/>
    <w:rsid w:val="005A080F"/>
    <w:rsid w:val="00625E90"/>
    <w:rsid w:val="00637B4E"/>
    <w:rsid w:val="0064234C"/>
    <w:rsid w:val="00656BEA"/>
    <w:rsid w:val="00662515"/>
    <w:rsid w:val="006660AF"/>
    <w:rsid w:val="00670F57"/>
    <w:rsid w:val="0067219C"/>
    <w:rsid w:val="00686F82"/>
    <w:rsid w:val="00692327"/>
    <w:rsid w:val="006957D9"/>
    <w:rsid w:val="006A3FA7"/>
    <w:rsid w:val="006B68D0"/>
    <w:rsid w:val="006D298A"/>
    <w:rsid w:val="0070483D"/>
    <w:rsid w:val="00707616"/>
    <w:rsid w:val="00741661"/>
    <w:rsid w:val="00742E87"/>
    <w:rsid w:val="00744AFB"/>
    <w:rsid w:val="00763E54"/>
    <w:rsid w:val="00777808"/>
    <w:rsid w:val="00792C05"/>
    <w:rsid w:val="007A3778"/>
    <w:rsid w:val="00823AFB"/>
    <w:rsid w:val="00832DEC"/>
    <w:rsid w:val="00864A43"/>
    <w:rsid w:val="00874A0F"/>
    <w:rsid w:val="008C02BE"/>
    <w:rsid w:val="008C79C5"/>
    <w:rsid w:val="008E329E"/>
    <w:rsid w:val="008E68AD"/>
    <w:rsid w:val="0091765F"/>
    <w:rsid w:val="009227A0"/>
    <w:rsid w:val="00941F72"/>
    <w:rsid w:val="00943A31"/>
    <w:rsid w:val="00950781"/>
    <w:rsid w:val="0095523B"/>
    <w:rsid w:val="00956CBC"/>
    <w:rsid w:val="009671A7"/>
    <w:rsid w:val="009718EB"/>
    <w:rsid w:val="009728E4"/>
    <w:rsid w:val="00983E59"/>
    <w:rsid w:val="009A321F"/>
    <w:rsid w:val="009A4E53"/>
    <w:rsid w:val="009B0C9F"/>
    <w:rsid w:val="009B1DBB"/>
    <w:rsid w:val="009C2603"/>
    <w:rsid w:val="009C2FA3"/>
    <w:rsid w:val="009E03E5"/>
    <w:rsid w:val="009E67FC"/>
    <w:rsid w:val="009F0D2A"/>
    <w:rsid w:val="00A04819"/>
    <w:rsid w:val="00A074B4"/>
    <w:rsid w:val="00A300DB"/>
    <w:rsid w:val="00A47018"/>
    <w:rsid w:val="00A47E70"/>
    <w:rsid w:val="00A55CC2"/>
    <w:rsid w:val="00A77ED6"/>
    <w:rsid w:val="00A809A7"/>
    <w:rsid w:val="00AC1965"/>
    <w:rsid w:val="00AC5EE2"/>
    <w:rsid w:val="00AE5D7D"/>
    <w:rsid w:val="00AF194C"/>
    <w:rsid w:val="00AF47AE"/>
    <w:rsid w:val="00B26E4B"/>
    <w:rsid w:val="00B45E57"/>
    <w:rsid w:val="00B7340A"/>
    <w:rsid w:val="00B77394"/>
    <w:rsid w:val="00B91BC7"/>
    <w:rsid w:val="00BE38F9"/>
    <w:rsid w:val="00BF472C"/>
    <w:rsid w:val="00BF5E27"/>
    <w:rsid w:val="00C33D40"/>
    <w:rsid w:val="00C34B7B"/>
    <w:rsid w:val="00C40D79"/>
    <w:rsid w:val="00C523A9"/>
    <w:rsid w:val="00C536CF"/>
    <w:rsid w:val="00C66134"/>
    <w:rsid w:val="00C662AF"/>
    <w:rsid w:val="00D0497E"/>
    <w:rsid w:val="00D229B3"/>
    <w:rsid w:val="00D26AAF"/>
    <w:rsid w:val="00D340DA"/>
    <w:rsid w:val="00D505B0"/>
    <w:rsid w:val="00D57DDF"/>
    <w:rsid w:val="00D64145"/>
    <w:rsid w:val="00D81CAC"/>
    <w:rsid w:val="00DA2E8A"/>
    <w:rsid w:val="00DB37F4"/>
    <w:rsid w:val="00DC15F5"/>
    <w:rsid w:val="00DE5B7E"/>
    <w:rsid w:val="00E018D8"/>
    <w:rsid w:val="00E0759A"/>
    <w:rsid w:val="00E277E1"/>
    <w:rsid w:val="00E34630"/>
    <w:rsid w:val="00E708D0"/>
    <w:rsid w:val="00EA55AE"/>
    <w:rsid w:val="00EB3F07"/>
    <w:rsid w:val="00EE716D"/>
    <w:rsid w:val="00EF6ADE"/>
    <w:rsid w:val="00EF7E44"/>
    <w:rsid w:val="00F01531"/>
    <w:rsid w:val="00F031D0"/>
    <w:rsid w:val="00F10F72"/>
    <w:rsid w:val="00F22400"/>
    <w:rsid w:val="00F3419E"/>
    <w:rsid w:val="00F3539F"/>
    <w:rsid w:val="00F4628F"/>
    <w:rsid w:val="00F51C53"/>
    <w:rsid w:val="00F74732"/>
    <w:rsid w:val="00F809FB"/>
    <w:rsid w:val="00F8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rsid w:val="00692327"/>
    <w:rPr>
      <w:rFonts w:eastAsia="Times New Roman"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327"/>
    <w:pPr>
      <w:spacing w:after="180" w:line="260" w:lineRule="atLeast"/>
    </w:pPr>
    <w:rPr>
      <w:szCs w:val="20"/>
    </w:rPr>
  </w:style>
  <w:style w:type="character" w:customStyle="1" w:styleId="BodyTextChar">
    <w:name w:val="Body Text Char"/>
    <w:basedOn w:val="DefaultParagraphFont"/>
    <w:link w:val="BodyText"/>
    <w:rsid w:val="00692327"/>
    <w:rPr>
      <w:rFonts w:eastAsia="Times New Roman" w:cs="Calibri"/>
      <w:szCs w:val="20"/>
      <w:lang w:val="en-GB"/>
    </w:rPr>
  </w:style>
  <w:style w:type="paragraph" w:customStyle="1" w:styleId="Default">
    <w:name w:val="Default"/>
    <w:rsid w:val="00864A43"/>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864A43"/>
    <w:rPr>
      <w:rFonts w:ascii="Tahoma" w:hAnsi="Tahoma" w:cs="Tahoma"/>
      <w:sz w:val="16"/>
      <w:szCs w:val="16"/>
    </w:rPr>
  </w:style>
  <w:style w:type="character" w:customStyle="1" w:styleId="BalloonTextChar">
    <w:name w:val="Balloon Text Char"/>
    <w:basedOn w:val="DefaultParagraphFont"/>
    <w:link w:val="BalloonText"/>
    <w:uiPriority w:val="99"/>
    <w:semiHidden/>
    <w:rsid w:val="00864A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64A43"/>
    <w:rPr>
      <w:sz w:val="16"/>
      <w:szCs w:val="16"/>
    </w:rPr>
  </w:style>
  <w:style w:type="paragraph" w:styleId="CommentText">
    <w:name w:val="annotation text"/>
    <w:basedOn w:val="Normal"/>
    <w:link w:val="CommentTextChar"/>
    <w:uiPriority w:val="99"/>
    <w:semiHidden/>
    <w:unhideWhenUsed/>
    <w:rsid w:val="00864A43"/>
    <w:rPr>
      <w:sz w:val="20"/>
      <w:szCs w:val="20"/>
    </w:rPr>
  </w:style>
  <w:style w:type="character" w:customStyle="1" w:styleId="CommentTextChar">
    <w:name w:val="Comment Text Char"/>
    <w:basedOn w:val="DefaultParagraphFont"/>
    <w:link w:val="CommentText"/>
    <w:uiPriority w:val="99"/>
    <w:semiHidden/>
    <w:rsid w:val="00864A43"/>
    <w:rPr>
      <w:rFonts w:eastAsia="Times New Roman" w:cs="Calibri"/>
      <w:lang w:val="en-GB"/>
    </w:rPr>
  </w:style>
  <w:style w:type="paragraph" w:styleId="CommentSubject">
    <w:name w:val="annotation subject"/>
    <w:basedOn w:val="CommentText"/>
    <w:next w:val="CommentText"/>
    <w:link w:val="CommentSubjectChar"/>
    <w:uiPriority w:val="99"/>
    <w:semiHidden/>
    <w:unhideWhenUsed/>
    <w:rsid w:val="00864A43"/>
    <w:rPr>
      <w:b/>
      <w:bCs/>
    </w:rPr>
  </w:style>
  <w:style w:type="character" w:customStyle="1" w:styleId="CommentSubjectChar">
    <w:name w:val="Comment Subject Char"/>
    <w:basedOn w:val="CommentTextChar"/>
    <w:link w:val="CommentSubject"/>
    <w:uiPriority w:val="99"/>
    <w:semiHidden/>
    <w:rsid w:val="00864A43"/>
    <w:rPr>
      <w:rFonts w:eastAsia="Times New Roman" w:cs="Calibri"/>
      <w:b/>
      <w:bCs/>
      <w:lang w:val="en-GB"/>
    </w:rPr>
  </w:style>
  <w:style w:type="paragraph" w:styleId="Header">
    <w:name w:val="header"/>
    <w:basedOn w:val="Normal"/>
    <w:link w:val="HeaderChar"/>
    <w:uiPriority w:val="99"/>
    <w:unhideWhenUsed/>
    <w:rsid w:val="001C2E3E"/>
    <w:pPr>
      <w:tabs>
        <w:tab w:val="center" w:pos="4703"/>
        <w:tab w:val="right" w:pos="9406"/>
      </w:tabs>
    </w:pPr>
  </w:style>
  <w:style w:type="character" w:customStyle="1" w:styleId="HeaderChar">
    <w:name w:val="Header Char"/>
    <w:basedOn w:val="DefaultParagraphFont"/>
    <w:link w:val="Header"/>
    <w:uiPriority w:val="99"/>
    <w:rsid w:val="001C2E3E"/>
    <w:rPr>
      <w:rFonts w:eastAsia="Times New Roman" w:cs="Calibri"/>
      <w:sz w:val="22"/>
      <w:szCs w:val="22"/>
      <w:lang w:val="en-GB"/>
    </w:rPr>
  </w:style>
  <w:style w:type="paragraph" w:styleId="Footer">
    <w:name w:val="footer"/>
    <w:basedOn w:val="Normal"/>
    <w:link w:val="FooterChar"/>
    <w:uiPriority w:val="99"/>
    <w:unhideWhenUsed/>
    <w:rsid w:val="001C2E3E"/>
    <w:pPr>
      <w:tabs>
        <w:tab w:val="center" w:pos="4703"/>
        <w:tab w:val="right" w:pos="9406"/>
      </w:tabs>
    </w:pPr>
  </w:style>
  <w:style w:type="character" w:customStyle="1" w:styleId="FooterChar">
    <w:name w:val="Footer Char"/>
    <w:basedOn w:val="DefaultParagraphFont"/>
    <w:link w:val="Footer"/>
    <w:uiPriority w:val="99"/>
    <w:rsid w:val="001C2E3E"/>
    <w:rPr>
      <w:rFonts w:eastAsia="Times New Roman" w:cs="Calibri"/>
      <w:sz w:val="22"/>
      <w:szCs w:val="22"/>
      <w:lang w:val="en-GB"/>
    </w:rPr>
  </w:style>
  <w:style w:type="paragraph" w:styleId="ListParagraph">
    <w:name w:val="List Paragraph"/>
    <w:basedOn w:val="Normal"/>
    <w:uiPriority w:val="34"/>
    <w:qFormat/>
    <w:rsid w:val="00407D27"/>
    <w:pPr>
      <w:ind w:left="720"/>
      <w:contextualSpacing/>
    </w:pPr>
    <w:rPr>
      <w:rFonts w:asciiTheme="minorHAnsi" w:eastAsiaTheme="minorEastAsia" w:hAnsiTheme="minorHAnsi" w:cstheme="minorBidi"/>
      <w:sz w:val="24"/>
      <w:szCs w:val="24"/>
      <w:lang w:val="en-US"/>
    </w:rPr>
  </w:style>
  <w:style w:type="paragraph" w:styleId="Revision">
    <w:name w:val="Revision"/>
    <w:hidden/>
    <w:uiPriority w:val="99"/>
    <w:semiHidden/>
    <w:rsid w:val="006957D9"/>
    <w:rPr>
      <w:rFonts w:eastAsia="Times New Roman" w:cs="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rsid w:val="00692327"/>
    <w:rPr>
      <w:rFonts w:eastAsia="Times New Roman"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327"/>
    <w:pPr>
      <w:spacing w:after="180" w:line="260" w:lineRule="atLeast"/>
    </w:pPr>
    <w:rPr>
      <w:szCs w:val="20"/>
    </w:rPr>
  </w:style>
  <w:style w:type="character" w:customStyle="1" w:styleId="BodyTextChar">
    <w:name w:val="Body Text Char"/>
    <w:basedOn w:val="DefaultParagraphFont"/>
    <w:link w:val="BodyText"/>
    <w:rsid w:val="00692327"/>
    <w:rPr>
      <w:rFonts w:eastAsia="Times New Roman" w:cs="Calibri"/>
      <w:szCs w:val="20"/>
      <w:lang w:val="en-GB"/>
    </w:rPr>
  </w:style>
  <w:style w:type="paragraph" w:customStyle="1" w:styleId="Default">
    <w:name w:val="Default"/>
    <w:rsid w:val="00864A43"/>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864A43"/>
    <w:rPr>
      <w:rFonts w:ascii="Tahoma" w:hAnsi="Tahoma" w:cs="Tahoma"/>
      <w:sz w:val="16"/>
      <w:szCs w:val="16"/>
    </w:rPr>
  </w:style>
  <w:style w:type="character" w:customStyle="1" w:styleId="BalloonTextChar">
    <w:name w:val="Balloon Text Char"/>
    <w:basedOn w:val="DefaultParagraphFont"/>
    <w:link w:val="BalloonText"/>
    <w:uiPriority w:val="99"/>
    <w:semiHidden/>
    <w:rsid w:val="00864A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64A43"/>
    <w:rPr>
      <w:sz w:val="16"/>
      <w:szCs w:val="16"/>
    </w:rPr>
  </w:style>
  <w:style w:type="paragraph" w:styleId="CommentText">
    <w:name w:val="annotation text"/>
    <w:basedOn w:val="Normal"/>
    <w:link w:val="CommentTextChar"/>
    <w:uiPriority w:val="99"/>
    <w:semiHidden/>
    <w:unhideWhenUsed/>
    <w:rsid w:val="00864A43"/>
    <w:rPr>
      <w:sz w:val="20"/>
      <w:szCs w:val="20"/>
    </w:rPr>
  </w:style>
  <w:style w:type="character" w:customStyle="1" w:styleId="CommentTextChar">
    <w:name w:val="Comment Text Char"/>
    <w:basedOn w:val="DefaultParagraphFont"/>
    <w:link w:val="CommentText"/>
    <w:uiPriority w:val="99"/>
    <w:semiHidden/>
    <w:rsid w:val="00864A43"/>
    <w:rPr>
      <w:rFonts w:eastAsia="Times New Roman" w:cs="Calibri"/>
      <w:lang w:val="en-GB"/>
    </w:rPr>
  </w:style>
  <w:style w:type="paragraph" w:styleId="CommentSubject">
    <w:name w:val="annotation subject"/>
    <w:basedOn w:val="CommentText"/>
    <w:next w:val="CommentText"/>
    <w:link w:val="CommentSubjectChar"/>
    <w:uiPriority w:val="99"/>
    <w:semiHidden/>
    <w:unhideWhenUsed/>
    <w:rsid w:val="00864A43"/>
    <w:rPr>
      <w:b/>
      <w:bCs/>
    </w:rPr>
  </w:style>
  <w:style w:type="character" w:customStyle="1" w:styleId="CommentSubjectChar">
    <w:name w:val="Comment Subject Char"/>
    <w:basedOn w:val="CommentTextChar"/>
    <w:link w:val="CommentSubject"/>
    <w:uiPriority w:val="99"/>
    <w:semiHidden/>
    <w:rsid w:val="00864A43"/>
    <w:rPr>
      <w:rFonts w:eastAsia="Times New Roman" w:cs="Calibri"/>
      <w:b/>
      <w:bCs/>
      <w:lang w:val="en-GB"/>
    </w:rPr>
  </w:style>
  <w:style w:type="paragraph" w:styleId="Header">
    <w:name w:val="header"/>
    <w:basedOn w:val="Normal"/>
    <w:link w:val="HeaderChar"/>
    <w:uiPriority w:val="99"/>
    <w:unhideWhenUsed/>
    <w:rsid w:val="001C2E3E"/>
    <w:pPr>
      <w:tabs>
        <w:tab w:val="center" w:pos="4703"/>
        <w:tab w:val="right" w:pos="9406"/>
      </w:tabs>
    </w:pPr>
  </w:style>
  <w:style w:type="character" w:customStyle="1" w:styleId="HeaderChar">
    <w:name w:val="Header Char"/>
    <w:basedOn w:val="DefaultParagraphFont"/>
    <w:link w:val="Header"/>
    <w:uiPriority w:val="99"/>
    <w:rsid w:val="001C2E3E"/>
    <w:rPr>
      <w:rFonts w:eastAsia="Times New Roman" w:cs="Calibri"/>
      <w:sz w:val="22"/>
      <w:szCs w:val="22"/>
      <w:lang w:val="en-GB"/>
    </w:rPr>
  </w:style>
  <w:style w:type="paragraph" w:styleId="Footer">
    <w:name w:val="footer"/>
    <w:basedOn w:val="Normal"/>
    <w:link w:val="FooterChar"/>
    <w:uiPriority w:val="99"/>
    <w:unhideWhenUsed/>
    <w:rsid w:val="001C2E3E"/>
    <w:pPr>
      <w:tabs>
        <w:tab w:val="center" w:pos="4703"/>
        <w:tab w:val="right" w:pos="9406"/>
      </w:tabs>
    </w:pPr>
  </w:style>
  <w:style w:type="character" w:customStyle="1" w:styleId="FooterChar">
    <w:name w:val="Footer Char"/>
    <w:basedOn w:val="DefaultParagraphFont"/>
    <w:link w:val="Footer"/>
    <w:uiPriority w:val="99"/>
    <w:rsid w:val="001C2E3E"/>
    <w:rPr>
      <w:rFonts w:eastAsia="Times New Roman" w:cs="Calibri"/>
      <w:sz w:val="22"/>
      <w:szCs w:val="22"/>
      <w:lang w:val="en-GB"/>
    </w:rPr>
  </w:style>
  <w:style w:type="paragraph" w:styleId="ListParagraph">
    <w:name w:val="List Paragraph"/>
    <w:basedOn w:val="Normal"/>
    <w:uiPriority w:val="34"/>
    <w:qFormat/>
    <w:rsid w:val="00407D27"/>
    <w:pPr>
      <w:ind w:left="720"/>
      <w:contextualSpacing/>
    </w:pPr>
    <w:rPr>
      <w:rFonts w:asciiTheme="minorHAnsi" w:eastAsiaTheme="minorEastAsia" w:hAnsiTheme="minorHAnsi" w:cstheme="minorBidi"/>
      <w:sz w:val="24"/>
      <w:szCs w:val="24"/>
      <w:lang w:val="en-US"/>
    </w:rPr>
  </w:style>
  <w:style w:type="paragraph" w:styleId="Revision">
    <w:name w:val="Revision"/>
    <w:hidden/>
    <w:uiPriority w:val="99"/>
    <w:semiHidden/>
    <w:rsid w:val="006957D9"/>
    <w:rPr>
      <w:rFonts w:eastAsia="Times New Roman"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4131">
      <w:bodyDiv w:val="1"/>
      <w:marLeft w:val="0"/>
      <w:marRight w:val="0"/>
      <w:marTop w:val="0"/>
      <w:marBottom w:val="0"/>
      <w:divBdr>
        <w:top w:val="none" w:sz="0" w:space="0" w:color="auto"/>
        <w:left w:val="none" w:sz="0" w:space="0" w:color="auto"/>
        <w:bottom w:val="none" w:sz="0" w:space="0" w:color="auto"/>
        <w:right w:val="none" w:sz="0" w:space="0" w:color="auto"/>
      </w:divBdr>
    </w:div>
    <w:div w:id="1032077197">
      <w:bodyDiv w:val="1"/>
      <w:marLeft w:val="0"/>
      <w:marRight w:val="0"/>
      <w:marTop w:val="0"/>
      <w:marBottom w:val="0"/>
      <w:divBdr>
        <w:top w:val="none" w:sz="0" w:space="0" w:color="auto"/>
        <w:left w:val="none" w:sz="0" w:space="0" w:color="auto"/>
        <w:bottom w:val="none" w:sz="0" w:space="0" w:color="auto"/>
        <w:right w:val="none" w:sz="0" w:space="0" w:color="auto"/>
      </w:divBdr>
    </w:div>
    <w:div w:id="1474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16:24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BDBA-46F8-43E7-8971-DF907E71F5C6}">
  <ds:schemaRefs/>
</ds:datastoreItem>
</file>

<file path=customXml/itemProps2.xml><?xml version="1.0" encoding="utf-8"?>
<ds:datastoreItem xmlns:ds="http://schemas.openxmlformats.org/officeDocument/2006/customXml" ds:itemID="{13CC14DD-AD90-4D45-814E-9994BAEF69CF}">
  <ds:schemaRefs/>
</ds:datastoreItem>
</file>

<file path=customXml/itemProps3.xml><?xml version="1.0" encoding="utf-8"?>
<ds:datastoreItem xmlns:ds="http://schemas.openxmlformats.org/officeDocument/2006/customXml" ds:itemID="{81DFB5CA-2E33-40FF-A613-A4E765EE6FC4}">
  <ds:schemaRefs/>
</ds:datastoreItem>
</file>

<file path=customXml/itemProps4.xml><?xml version="1.0" encoding="utf-8"?>
<ds:datastoreItem xmlns:ds="http://schemas.openxmlformats.org/officeDocument/2006/customXml" ds:itemID="{4A389755-3B16-44B5-BFED-6651790C5CD3}">
  <ds:schemaRefs/>
</ds:datastoreItem>
</file>

<file path=customXml/itemProps5.xml><?xml version="1.0" encoding="utf-8"?>
<ds:datastoreItem xmlns:ds="http://schemas.openxmlformats.org/officeDocument/2006/customXml" ds:itemID="{B0366683-4C3C-4AF5-9EAB-8DC74C3A2CF1}">
  <ds:schemaRefs/>
</ds:datastoreItem>
</file>

<file path=customXml/itemProps6.xml><?xml version="1.0" encoding="utf-8"?>
<ds:datastoreItem xmlns:ds="http://schemas.openxmlformats.org/officeDocument/2006/customXml" ds:itemID="{B78AA958-6114-48FA-9E9A-742B76CD0D91}">
  <ds:schemaRefs/>
</ds:datastoreItem>
</file>

<file path=customXml/itemProps7.xml><?xml version="1.0" encoding="utf-8"?>
<ds:datastoreItem xmlns:ds="http://schemas.openxmlformats.org/officeDocument/2006/customXml" ds:itemID="{891E1825-9323-416F-B9AB-CCBBFEB4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2004</Words>
  <Characters>11601</Characters>
  <Application>Microsoft Office Word</Application>
  <DocSecurity>0</DocSecurity>
  <Lines>251</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Citigroup</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cj76807</dc:creator>
  <cp:lastModifiedBy>Johnston, Charles R [GGA]</cp:lastModifiedBy>
  <cp:revision>3</cp:revision>
  <cp:lastPrinted>2016-07-22T14:15:00Z</cp:lastPrinted>
  <dcterms:created xsi:type="dcterms:W3CDTF">2016-10-25T16:24:00Z</dcterms:created>
  <dcterms:modified xsi:type="dcterms:W3CDTF">2016-11-07T20:21:00Z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